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83993" w14:textId="7183C2CC" w:rsidR="00C67535" w:rsidRPr="004F7438" w:rsidRDefault="00C67535" w:rsidP="0051044E">
      <w:pPr>
        <w:pStyle w:val="Heading1"/>
      </w:pPr>
      <w:r>
        <w:fldChar w:fldCharType="begin"/>
      </w:r>
      <w:r>
        <w:instrText>HYPERLINK "https://www.construction-institute.org/managing-transitions-between-construction-completion-pre-commissioning-commissioning-and-startup"</w:instrText>
      </w:r>
      <w:r>
        <w:fldChar w:fldCharType="separate"/>
      </w:r>
      <w:r w:rsidRPr="004F7438">
        <w:rPr>
          <w:rStyle w:val="Hyperlink"/>
          <w:color w:val="auto"/>
          <w:u w:val="none"/>
        </w:rPr>
        <w:t>3. MANAGING TRANSITIONS BETWEEN CONSTRUCTION COMPLETION, PRECOMMISSIONING, COMMISSIONING, AND START</w:t>
      </w:r>
      <w:r w:rsidR="00701B06" w:rsidRPr="004F7438">
        <w:rPr>
          <w:rStyle w:val="Hyperlink"/>
          <w:color w:val="auto"/>
          <w:u w:val="none"/>
        </w:rPr>
        <w:t>-</w:t>
      </w:r>
      <w:r w:rsidRPr="004F7438">
        <w:rPr>
          <w:rStyle w:val="Hyperlink"/>
          <w:color w:val="auto"/>
          <w:u w:val="none"/>
        </w:rPr>
        <w:t>UP (SP333-1)</w:t>
      </w:r>
      <w:r>
        <w:fldChar w:fldCharType="end"/>
      </w:r>
    </w:p>
    <w:p w14:paraId="02577DDA" w14:textId="77777777" w:rsidR="002D16C5" w:rsidRPr="00701B06" w:rsidRDefault="002D16C5" w:rsidP="0051044E">
      <w:pPr>
        <w:pStyle w:val="NoSpacing"/>
        <w:rPr>
          <w:rFonts w:cs="Times New Roman"/>
          <w:b/>
          <w:bCs/>
          <w:sz w:val="24"/>
          <w:szCs w:val="24"/>
        </w:rPr>
      </w:pPr>
    </w:p>
    <w:p w14:paraId="4E2624A6" w14:textId="77777777" w:rsidR="00202082" w:rsidRPr="00202082" w:rsidRDefault="002D16C5" w:rsidP="0051044E">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202082" w:rsidRPr="00202082">
        <w:rPr>
          <w:sz w:val="24"/>
          <w:szCs w:val="24"/>
          <w:lang w:eastAsia="zh-CN"/>
        </w:rPr>
        <w:t xml:space="preserve">Several prior studies indicate that commissioning failures are too common in frequency and extremely costly in impact. The business case for action is clear, yet the transitions between construction/pre-commissioning/commissioning/startup/close-out (abbreviated CCSU in this publication, emphasizing the construction component) remain challenging for many reasons. This is primarily due to contractual separations and the multitude of organizational interfaces and handoffs during CCSU. </w:t>
      </w:r>
    </w:p>
    <w:p w14:paraId="2858DBA2" w14:textId="77777777" w:rsidR="00202082" w:rsidRPr="00202082" w:rsidRDefault="00202082" w:rsidP="0051044E">
      <w:pPr>
        <w:pStyle w:val="NoSpacing"/>
        <w:jc w:val="both"/>
        <w:rPr>
          <w:sz w:val="24"/>
          <w:szCs w:val="24"/>
          <w:lang w:eastAsia="zh-CN"/>
        </w:rPr>
      </w:pPr>
    </w:p>
    <w:p w14:paraId="73EE9BD5" w14:textId="3B4FD3EC" w:rsidR="00202082" w:rsidRPr="00202082" w:rsidRDefault="00202082" w:rsidP="0051044E">
      <w:pPr>
        <w:pStyle w:val="NoSpacing"/>
        <w:jc w:val="both"/>
        <w:rPr>
          <w:sz w:val="24"/>
          <w:szCs w:val="24"/>
          <w:lang w:eastAsia="zh-CN"/>
        </w:rPr>
      </w:pPr>
      <w:r w:rsidRPr="00202082">
        <w:rPr>
          <w:sz w:val="24"/>
          <w:szCs w:val="24"/>
          <w:lang w:eastAsia="zh-CN"/>
        </w:rPr>
        <w:t>Achieving project and commissioning success requires a solid understanding of the CCSU activities to be undertaken and the associated responsibility assignments. CII created Research Team 333 (RT-333), Transition Management between Construction Completion, Pre-Commissioning, Commissioning, and Start</w:t>
      </w:r>
      <w:r w:rsidR="00F95057">
        <w:rPr>
          <w:rFonts w:hint="eastAsia"/>
          <w:sz w:val="24"/>
          <w:szCs w:val="24"/>
          <w:lang w:eastAsia="zh-CN"/>
        </w:rPr>
        <w:t>-U</w:t>
      </w:r>
      <w:r w:rsidRPr="00202082">
        <w:rPr>
          <w:sz w:val="24"/>
          <w:szCs w:val="24"/>
          <w:lang w:eastAsia="zh-CN"/>
        </w:rPr>
        <w:t xml:space="preserve">p, and challenged it to provide answers to the essential question: How can the industry establish or clarify the accountabilities and responsibilities among construction completion, pre-commissioning, commissioning, and operations functions? </w:t>
      </w:r>
    </w:p>
    <w:p w14:paraId="23DD2D3F" w14:textId="77777777" w:rsidR="00202082" w:rsidRPr="00202082" w:rsidRDefault="00202082" w:rsidP="0051044E">
      <w:pPr>
        <w:pStyle w:val="NoSpacing"/>
        <w:jc w:val="both"/>
        <w:rPr>
          <w:sz w:val="24"/>
          <w:szCs w:val="24"/>
          <w:lang w:eastAsia="zh-CN"/>
        </w:rPr>
      </w:pPr>
    </w:p>
    <w:p w14:paraId="771D8EE5" w14:textId="0F4EBBC5" w:rsidR="00202082" w:rsidRPr="00202082" w:rsidRDefault="00202082" w:rsidP="0051044E">
      <w:pPr>
        <w:pStyle w:val="NoSpacing"/>
        <w:jc w:val="both"/>
        <w:rPr>
          <w:sz w:val="24"/>
          <w:szCs w:val="24"/>
          <w:lang w:eastAsia="zh-CN"/>
        </w:rPr>
      </w:pPr>
      <w:r w:rsidRPr="00202082">
        <w:rPr>
          <w:sz w:val="24"/>
          <w:szCs w:val="24"/>
          <w:lang w:eastAsia="zh-CN"/>
        </w:rPr>
        <w:t xml:space="preserve">In response to this essential question, RT-333 developed a 17-step implementation process that integrates the key findings from all three CII research teams that have addressed commissioning: </w:t>
      </w:r>
      <w:hyperlink r:id="rId7" w:history="1">
        <w:r w:rsidRPr="0051044E">
          <w:rPr>
            <w:rStyle w:val="Hyperlink"/>
            <w:sz w:val="24"/>
            <w:szCs w:val="24"/>
            <w:lang w:eastAsia="zh-CN"/>
          </w:rPr>
          <w:t>R</w:t>
        </w:r>
        <w:r w:rsidR="004A11EF" w:rsidRPr="0051044E">
          <w:rPr>
            <w:rStyle w:val="Hyperlink"/>
            <w:sz w:val="24"/>
            <w:szCs w:val="24"/>
            <w:lang w:eastAsia="zh-CN"/>
          </w:rPr>
          <w:t>S</w:t>
        </w:r>
        <w:r w:rsidRPr="0051044E">
          <w:rPr>
            <w:rStyle w:val="Hyperlink"/>
            <w:sz w:val="24"/>
            <w:szCs w:val="24"/>
            <w:lang w:eastAsia="zh-CN"/>
          </w:rPr>
          <w:t>121</w:t>
        </w:r>
        <w:r w:rsidR="004A11EF" w:rsidRPr="0051044E">
          <w:rPr>
            <w:rStyle w:val="Hyperlink"/>
            <w:sz w:val="24"/>
            <w:szCs w:val="24"/>
            <w:lang w:eastAsia="zh-CN"/>
          </w:rPr>
          <w:t>-1</w:t>
        </w:r>
      </w:hyperlink>
      <w:r w:rsidRPr="00202082">
        <w:rPr>
          <w:sz w:val="24"/>
          <w:szCs w:val="24"/>
          <w:lang w:eastAsia="zh-CN"/>
        </w:rPr>
        <w:t>, Planning for Start</w:t>
      </w:r>
      <w:r w:rsidR="00F95057">
        <w:rPr>
          <w:rFonts w:hint="eastAsia"/>
          <w:sz w:val="24"/>
          <w:szCs w:val="24"/>
          <w:lang w:eastAsia="zh-CN"/>
        </w:rPr>
        <w:t>-U</w:t>
      </w:r>
      <w:r w:rsidRPr="00202082">
        <w:rPr>
          <w:sz w:val="24"/>
          <w:szCs w:val="24"/>
          <w:lang w:eastAsia="zh-CN"/>
        </w:rPr>
        <w:t xml:space="preserve">p; </w:t>
      </w:r>
      <w:hyperlink r:id="rId8" w:history="1">
        <w:r w:rsidRPr="0051044E">
          <w:rPr>
            <w:rStyle w:val="Hyperlink"/>
            <w:sz w:val="24"/>
            <w:szCs w:val="24"/>
            <w:lang w:eastAsia="zh-CN"/>
          </w:rPr>
          <w:t>R</w:t>
        </w:r>
        <w:r w:rsidR="004A11EF" w:rsidRPr="0051044E">
          <w:rPr>
            <w:rStyle w:val="Hyperlink"/>
            <w:sz w:val="24"/>
            <w:szCs w:val="24"/>
            <w:lang w:eastAsia="zh-CN"/>
          </w:rPr>
          <w:t>S</w:t>
        </w:r>
        <w:r w:rsidRPr="0051044E">
          <w:rPr>
            <w:rStyle w:val="Hyperlink"/>
            <w:sz w:val="24"/>
            <w:szCs w:val="24"/>
            <w:lang w:eastAsia="zh-CN"/>
          </w:rPr>
          <w:t>312</w:t>
        </w:r>
        <w:r w:rsidR="004A11EF" w:rsidRPr="0051044E">
          <w:rPr>
            <w:rStyle w:val="Hyperlink"/>
            <w:sz w:val="24"/>
            <w:szCs w:val="24"/>
            <w:lang w:eastAsia="zh-CN"/>
          </w:rPr>
          <w:t>-1</w:t>
        </w:r>
      </w:hyperlink>
      <w:r w:rsidRPr="00202082">
        <w:rPr>
          <w:sz w:val="24"/>
          <w:szCs w:val="24"/>
          <w:lang w:eastAsia="zh-CN"/>
        </w:rPr>
        <w:t>, Best Practices for Commissioning and Start</w:t>
      </w:r>
      <w:r w:rsidR="00F95057">
        <w:rPr>
          <w:rFonts w:hint="eastAsia"/>
          <w:sz w:val="24"/>
          <w:szCs w:val="24"/>
          <w:lang w:eastAsia="zh-CN"/>
        </w:rPr>
        <w:t>-U</w:t>
      </w:r>
      <w:r w:rsidRPr="00202082">
        <w:rPr>
          <w:sz w:val="24"/>
          <w:szCs w:val="24"/>
          <w:lang w:eastAsia="zh-CN"/>
        </w:rPr>
        <w:t xml:space="preserve">p; and </w:t>
      </w:r>
      <w:hyperlink r:id="rId9" w:history="1">
        <w:r w:rsidR="004A11EF" w:rsidRPr="0051044E">
          <w:rPr>
            <w:rStyle w:val="Hyperlink"/>
            <w:sz w:val="24"/>
            <w:szCs w:val="24"/>
            <w:lang w:eastAsia="zh-CN"/>
          </w:rPr>
          <w:t>SP333-1</w:t>
        </w:r>
      </w:hyperlink>
      <w:r w:rsidRPr="00202082">
        <w:rPr>
          <w:sz w:val="24"/>
          <w:szCs w:val="24"/>
          <w:lang w:eastAsia="zh-CN"/>
        </w:rPr>
        <w:t xml:space="preserve"> itself.</w:t>
      </w:r>
    </w:p>
    <w:p w14:paraId="43FFCC32" w14:textId="77777777" w:rsidR="00202082" w:rsidRPr="00202082" w:rsidRDefault="00202082" w:rsidP="0051044E">
      <w:pPr>
        <w:pStyle w:val="NoSpacing"/>
        <w:jc w:val="both"/>
        <w:rPr>
          <w:sz w:val="24"/>
          <w:szCs w:val="24"/>
          <w:lang w:eastAsia="zh-CN"/>
        </w:rPr>
      </w:pPr>
    </w:p>
    <w:p w14:paraId="47496E4F" w14:textId="24FB9C4D" w:rsidR="00202082" w:rsidRPr="00202082" w:rsidRDefault="00202082" w:rsidP="0051044E">
      <w:pPr>
        <w:pStyle w:val="NoSpacing"/>
        <w:jc w:val="both"/>
        <w:rPr>
          <w:sz w:val="24"/>
          <w:szCs w:val="24"/>
          <w:lang w:eastAsia="zh-CN"/>
        </w:rPr>
      </w:pPr>
      <w:r w:rsidRPr="00202082">
        <w:rPr>
          <w:sz w:val="24"/>
          <w:szCs w:val="24"/>
          <w:lang w:eastAsia="zh-CN"/>
        </w:rPr>
        <w:t xml:space="preserve">The </w:t>
      </w:r>
      <w:hyperlink r:id="rId10" w:history="1">
        <w:r w:rsidR="002D1A11" w:rsidRPr="0051044E">
          <w:rPr>
            <w:rStyle w:val="Hyperlink"/>
            <w:sz w:val="24"/>
            <w:szCs w:val="24"/>
            <w:lang w:eastAsia="zh-CN"/>
          </w:rPr>
          <w:t>SP333-1</w:t>
        </w:r>
      </w:hyperlink>
      <w:r w:rsidRPr="00202082">
        <w:rPr>
          <w:sz w:val="24"/>
          <w:szCs w:val="24"/>
          <w:lang w:eastAsia="zh-CN"/>
        </w:rPr>
        <w:t xml:space="preserve"> research developed four important deliverables:</w:t>
      </w:r>
    </w:p>
    <w:p w14:paraId="6719A5DD" w14:textId="77777777" w:rsidR="00202082" w:rsidRPr="00202082" w:rsidRDefault="00202082" w:rsidP="0051044E">
      <w:pPr>
        <w:pStyle w:val="NoSpacing"/>
        <w:jc w:val="both"/>
        <w:rPr>
          <w:sz w:val="24"/>
          <w:szCs w:val="24"/>
          <w:lang w:eastAsia="zh-CN"/>
        </w:rPr>
      </w:pPr>
      <w:r w:rsidRPr="00202082">
        <w:rPr>
          <w:sz w:val="24"/>
          <w:szCs w:val="24"/>
          <w:lang w:eastAsia="zh-CN"/>
        </w:rPr>
        <w:t xml:space="preserve">1. CCSU Activity Flowchart – a flowchart of 124 CCSU activities, organized by relevant project phase and four thematic categories. </w:t>
      </w:r>
    </w:p>
    <w:p w14:paraId="5DFCEEF8" w14:textId="77777777" w:rsidR="00202082" w:rsidRPr="00202082" w:rsidRDefault="00202082" w:rsidP="0051044E">
      <w:pPr>
        <w:pStyle w:val="NoSpacing"/>
        <w:jc w:val="both"/>
        <w:rPr>
          <w:sz w:val="24"/>
          <w:szCs w:val="24"/>
          <w:lang w:eastAsia="zh-CN"/>
        </w:rPr>
      </w:pPr>
      <w:r w:rsidRPr="00202082">
        <w:rPr>
          <w:sz w:val="24"/>
          <w:szCs w:val="24"/>
          <w:lang w:eastAsia="zh-CN"/>
        </w:rPr>
        <w:t xml:space="preserve">2. CCSU Responsible, Accountable, Consulted, and Informed (RACI) Matrix – builds on the CCSU activity flowchart, defining whether each activity’s manager is Responsible, is </w:t>
      </w:r>
    </w:p>
    <w:p w14:paraId="4B687836" w14:textId="77777777" w:rsidR="00202082" w:rsidRPr="00202082" w:rsidRDefault="00202082" w:rsidP="0051044E">
      <w:pPr>
        <w:pStyle w:val="NoSpacing"/>
        <w:jc w:val="both"/>
        <w:rPr>
          <w:sz w:val="24"/>
          <w:szCs w:val="24"/>
          <w:lang w:eastAsia="zh-CN"/>
        </w:rPr>
      </w:pPr>
      <w:r w:rsidRPr="00202082">
        <w:rPr>
          <w:sz w:val="24"/>
          <w:szCs w:val="24"/>
          <w:lang w:eastAsia="zh-CN"/>
        </w:rPr>
        <w:t xml:space="preserve">Accountable, should be Consulted, or should be Informed. </w:t>
      </w:r>
    </w:p>
    <w:p w14:paraId="01D87A7A" w14:textId="33C7F82B" w:rsidR="00202082" w:rsidRPr="00202082" w:rsidRDefault="00202082" w:rsidP="0051044E">
      <w:pPr>
        <w:pStyle w:val="NoSpacing"/>
        <w:jc w:val="both"/>
        <w:rPr>
          <w:sz w:val="24"/>
          <w:szCs w:val="24"/>
          <w:lang w:eastAsia="zh-CN"/>
        </w:rPr>
      </w:pPr>
      <w:r w:rsidRPr="00202082">
        <w:rPr>
          <w:sz w:val="24"/>
          <w:szCs w:val="24"/>
          <w:lang w:eastAsia="zh-CN"/>
        </w:rPr>
        <w:t xml:space="preserve">3. CCSU Hot Spots </w:t>
      </w:r>
      <w:r w:rsidR="00F95057" w:rsidRPr="00202082">
        <w:rPr>
          <w:sz w:val="24"/>
          <w:szCs w:val="24"/>
          <w:lang w:eastAsia="zh-CN"/>
        </w:rPr>
        <w:t>– insight</w:t>
      </w:r>
      <w:r w:rsidRPr="00202082">
        <w:rPr>
          <w:sz w:val="24"/>
          <w:szCs w:val="24"/>
          <w:lang w:eastAsia="zh-CN"/>
        </w:rPr>
        <w:t xml:space="preserve"> into the challenges of CCSU transitions by identifying 20 “hot spots”</w:t>
      </w:r>
    </w:p>
    <w:p w14:paraId="2B9B1696" w14:textId="678741FE" w:rsidR="002D16C5" w:rsidRDefault="00202082" w:rsidP="0051044E">
      <w:pPr>
        <w:pStyle w:val="NoSpacing"/>
        <w:jc w:val="both"/>
        <w:rPr>
          <w:sz w:val="24"/>
          <w:szCs w:val="24"/>
          <w:lang w:eastAsia="zh-CN"/>
        </w:rPr>
      </w:pPr>
      <w:r w:rsidRPr="00202082">
        <w:rPr>
          <w:sz w:val="24"/>
          <w:szCs w:val="24"/>
          <w:lang w:eastAsia="zh-CN"/>
        </w:rPr>
        <w:t xml:space="preserve">4. Heidelberg Spar Case Study </w:t>
      </w:r>
      <w:r w:rsidR="00F95057" w:rsidRPr="00202082">
        <w:rPr>
          <w:sz w:val="24"/>
          <w:szCs w:val="24"/>
          <w:lang w:eastAsia="zh-CN"/>
        </w:rPr>
        <w:t>– an</w:t>
      </w:r>
      <w:r w:rsidRPr="00202082">
        <w:rPr>
          <w:sz w:val="24"/>
          <w:szCs w:val="24"/>
          <w:lang w:eastAsia="zh-CN"/>
        </w:rPr>
        <w:t xml:space="preserve"> illustrative case study to demonstrate the substantial value that results from timely and effective mitigation efforts for targeted (i.e., project-specific) CCSU hot spots.</w:t>
      </w:r>
    </w:p>
    <w:p w14:paraId="3E9BC156" w14:textId="77777777" w:rsidR="00202082" w:rsidRDefault="00202082" w:rsidP="0051044E">
      <w:pPr>
        <w:pStyle w:val="NoSpacing"/>
        <w:jc w:val="both"/>
        <w:rPr>
          <w:sz w:val="24"/>
          <w:szCs w:val="24"/>
          <w:lang w:eastAsia="zh-CN"/>
        </w:rPr>
      </w:pPr>
    </w:p>
    <w:p w14:paraId="56609AC7" w14:textId="66D50B90" w:rsidR="00C67535" w:rsidRPr="002D16C5" w:rsidRDefault="002D16C5" w:rsidP="0051044E">
      <w:pPr>
        <w:pStyle w:val="NoSpacing"/>
        <w:jc w:val="both"/>
        <w:rPr>
          <w:rFonts w:cs="Times New Roman"/>
          <w:b/>
          <w:bCs/>
          <w:sz w:val="28"/>
          <w:szCs w:val="28"/>
          <w:u w:val="single"/>
          <w:lang w:eastAsia="zh-CN"/>
        </w:rPr>
      </w:pPr>
      <w:r>
        <w:rPr>
          <w:b/>
          <w:bCs/>
          <w:sz w:val="24"/>
          <w:szCs w:val="24"/>
          <w:u w:val="single"/>
          <w:lang w:eastAsia="zh-CN"/>
        </w:rPr>
        <w:t>Key Takeaways:</w:t>
      </w:r>
    </w:p>
    <w:p w14:paraId="23818BD5" w14:textId="73C4283E" w:rsidR="00C67535" w:rsidRPr="00701B06" w:rsidRDefault="00C67535" w:rsidP="0051044E">
      <w:pPr>
        <w:pStyle w:val="Heading2"/>
        <w:spacing w:before="0" w:after="0" w:line="240" w:lineRule="auto"/>
        <w:rPr>
          <w:color w:val="auto"/>
        </w:rPr>
      </w:pPr>
      <w:r w:rsidRPr="00701B06">
        <w:rPr>
          <w:color w:val="auto"/>
        </w:rPr>
        <w:t>(1) D</w:t>
      </w:r>
      <w:r w:rsidR="00FE0871" w:rsidRPr="00701B06">
        <w:rPr>
          <w:color w:val="auto"/>
        </w:rPr>
        <w:t xml:space="preserve">emonstrate that frequent, costly </w:t>
      </w:r>
      <w:r w:rsidRPr="00701B06">
        <w:rPr>
          <w:color w:val="auto"/>
        </w:rPr>
        <w:t>commissioning/start-up</w:t>
      </w:r>
      <w:r w:rsidR="00FE0871" w:rsidRPr="00701B06">
        <w:rPr>
          <w:color w:val="auto"/>
        </w:rPr>
        <w:t xml:space="preserve"> failures make a clear business case for action. </w:t>
      </w:r>
    </w:p>
    <w:p w14:paraId="0D94ACD9" w14:textId="2F09BC17" w:rsidR="00830C78" w:rsidRPr="00701B06" w:rsidRDefault="001F6ECD" w:rsidP="0051044E">
      <w:pPr>
        <w:pStyle w:val="Heading2"/>
        <w:spacing w:before="0" w:after="0" w:line="240" w:lineRule="auto"/>
        <w:ind w:left="360"/>
        <w:rPr>
          <w:color w:val="auto"/>
        </w:rPr>
      </w:pPr>
      <w:r w:rsidRPr="00701B06">
        <w:rPr>
          <w:color w:val="auto"/>
        </w:rPr>
        <w:t>(Project Phase:</w:t>
      </w:r>
      <w:r w:rsidR="002F77B4" w:rsidRPr="00701B06">
        <w:rPr>
          <w:color w:val="auto"/>
        </w:rPr>
        <w:t xml:space="preserve"> Construction through Turnover</w:t>
      </w:r>
      <w:r w:rsidRPr="00701B06">
        <w:rPr>
          <w:color w:val="auto"/>
        </w:rPr>
        <w:t>)</w:t>
      </w:r>
    </w:p>
    <w:p w14:paraId="53E0B2D7" w14:textId="2709D6D6" w:rsidR="00926F1C" w:rsidRPr="00701B06" w:rsidRDefault="00926F1C" w:rsidP="0051044E">
      <w:pPr>
        <w:pStyle w:val="ListParagraph"/>
        <w:numPr>
          <w:ilvl w:val="0"/>
          <w:numId w:val="46"/>
        </w:numPr>
        <w:spacing w:after="0" w:line="240" w:lineRule="auto"/>
        <w:contextualSpacing w:val="0"/>
        <w:rPr>
          <w:rFonts w:cs="Times New Roman"/>
          <w:sz w:val="24"/>
          <w:szCs w:val="24"/>
        </w:rPr>
      </w:pPr>
      <w:r w:rsidRPr="00701B06">
        <w:rPr>
          <w:rFonts w:cs="Times New Roman"/>
          <w:sz w:val="24"/>
          <w:szCs w:val="24"/>
        </w:rPr>
        <w:t xml:space="preserve">Quantify commissioning and </w:t>
      </w:r>
      <w:r w:rsidR="00C67535" w:rsidRPr="00701B06">
        <w:rPr>
          <w:rFonts w:cs="Times New Roman"/>
          <w:sz w:val="24"/>
          <w:szCs w:val="24"/>
        </w:rPr>
        <w:t>start-up</w:t>
      </w:r>
      <w:r w:rsidRPr="00701B06">
        <w:rPr>
          <w:rFonts w:cs="Times New Roman"/>
          <w:sz w:val="24"/>
          <w:szCs w:val="24"/>
        </w:rPr>
        <w:t xml:space="preserve"> </w:t>
      </w:r>
      <w:r w:rsidR="001F2BFC" w:rsidRPr="00701B06">
        <w:rPr>
          <w:rFonts w:cs="Times New Roman"/>
          <w:sz w:val="24"/>
          <w:szCs w:val="24"/>
        </w:rPr>
        <w:t xml:space="preserve">(CSU) </w:t>
      </w:r>
      <w:r w:rsidRPr="00701B06">
        <w:rPr>
          <w:rFonts w:cs="Times New Roman"/>
          <w:sz w:val="24"/>
          <w:szCs w:val="24"/>
        </w:rPr>
        <w:t xml:space="preserve">costs by tracking </w:t>
      </w:r>
      <w:r w:rsidR="00E14066" w:rsidRPr="00701B06">
        <w:rPr>
          <w:rFonts w:cs="Times New Roman"/>
          <w:sz w:val="24"/>
          <w:szCs w:val="24"/>
        </w:rPr>
        <w:t xml:space="preserve">cost </w:t>
      </w:r>
      <w:r w:rsidRPr="00701B06">
        <w:rPr>
          <w:rFonts w:cs="Times New Roman"/>
          <w:sz w:val="24"/>
          <w:szCs w:val="24"/>
        </w:rPr>
        <w:t>overruns and documenting cases of costly delays.</w:t>
      </w:r>
    </w:p>
    <w:p w14:paraId="6E39C23C" w14:textId="21A3F04F" w:rsidR="00926F1C" w:rsidRPr="00701B06" w:rsidRDefault="00E14066" w:rsidP="0051044E">
      <w:pPr>
        <w:pStyle w:val="ListParagraph"/>
        <w:numPr>
          <w:ilvl w:val="0"/>
          <w:numId w:val="46"/>
        </w:numPr>
        <w:spacing w:after="0" w:line="240" w:lineRule="auto"/>
        <w:contextualSpacing w:val="0"/>
        <w:rPr>
          <w:rFonts w:cs="Times New Roman"/>
          <w:sz w:val="24"/>
          <w:szCs w:val="24"/>
        </w:rPr>
      </w:pPr>
      <w:r w:rsidRPr="00701B06">
        <w:rPr>
          <w:rFonts w:cs="Times New Roman"/>
          <w:sz w:val="24"/>
          <w:szCs w:val="24"/>
        </w:rPr>
        <w:t xml:space="preserve">Pinpoint </w:t>
      </w:r>
      <w:r w:rsidR="00926F1C" w:rsidRPr="00701B06">
        <w:rPr>
          <w:rFonts w:cs="Times New Roman"/>
          <w:sz w:val="24"/>
          <w:szCs w:val="24"/>
        </w:rPr>
        <w:t xml:space="preserve">production losses by calculating </w:t>
      </w:r>
      <w:r w:rsidRPr="00701B06">
        <w:rPr>
          <w:rFonts w:cs="Times New Roman"/>
          <w:sz w:val="24"/>
          <w:szCs w:val="24"/>
        </w:rPr>
        <w:t xml:space="preserve">the </w:t>
      </w:r>
      <w:r w:rsidR="00926F1C" w:rsidRPr="00701B06">
        <w:rPr>
          <w:rFonts w:cs="Times New Roman"/>
          <w:sz w:val="24"/>
          <w:szCs w:val="24"/>
        </w:rPr>
        <w:t>daily revenue impact</w:t>
      </w:r>
      <w:r w:rsidR="00164E72" w:rsidRPr="00701B06">
        <w:rPr>
          <w:rFonts w:cs="Times New Roman"/>
          <w:sz w:val="24"/>
          <w:szCs w:val="24"/>
        </w:rPr>
        <w:t xml:space="preserve">s caused by </w:t>
      </w:r>
      <w:r w:rsidR="00C67535" w:rsidRPr="00701B06">
        <w:rPr>
          <w:rFonts w:cs="Times New Roman"/>
          <w:sz w:val="24"/>
          <w:szCs w:val="24"/>
        </w:rPr>
        <w:t>start-up</w:t>
      </w:r>
      <w:r w:rsidR="00926F1C" w:rsidRPr="00701B06">
        <w:rPr>
          <w:rFonts w:cs="Times New Roman"/>
          <w:sz w:val="24"/>
          <w:szCs w:val="24"/>
        </w:rPr>
        <w:t xml:space="preserve"> delays, emphasizing industry examples.</w:t>
      </w:r>
    </w:p>
    <w:p w14:paraId="38DD79B9" w14:textId="77065AFB" w:rsidR="00926F1C" w:rsidRPr="00701B06" w:rsidRDefault="00926F1C" w:rsidP="0051044E">
      <w:pPr>
        <w:pStyle w:val="ListParagraph"/>
        <w:numPr>
          <w:ilvl w:val="0"/>
          <w:numId w:val="46"/>
        </w:numPr>
        <w:spacing w:after="0" w:line="240" w:lineRule="auto"/>
        <w:contextualSpacing w:val="0"/>
        <w:rPr>
          <w:rFonts w:cs="Times New Roman"/>
          <w:sz w:val="24"/>
          <w:szCs w:val="24"/>
        </w:rPr>
      </w:pPr>
      <w:r w:rsidRPr="00701B06">
        <w:rPr>
          <w:rFonts w:cs="Times New Roman"/>
          <w:sz w:val="24"/>
          <w:szCs w:val="24"/>
        </w:rPr>
        <w:t xml:space="preserve">Assess the impact of incomplete transitions by examining commissioning </w:t>
      </w:r>
      <w:r w:rsidR="00E14066" w:rsidRPr="00701B06">
        <w:rPr>
          <w:rFonts w:cs="Times New Roman"/>
          <w:sz w:val="24"/>
          <w:szCs w:val="24"/>
        </w:rPr>
        <w:t>‘hot spots’</w:t>
      </w:r>
      <w:r w:rsidRPr="00701B06">
        <w:rPr>
          <w:rFonts w:cs="Times New Roman"/>
          <w:sz w:val="24"/>
          <w:szCs w:val="24"/>
        </w:rPr>
        <w:t xml:space="preserve"> that lead to delays and additional costs.</w:t>
      </w:r>
    </w:p>
    <w:p w14:paraId="239386D9" w14:textId="298A023D" w:rsidR="00926F1C" w:rsidRPr="00701B06" w:rsidRDefault="00926F1C" w:rsidP="0051044E">
      <w:pPr>
        <w:pStyle w:val="ListParagraph"/>
        <w:numPr>
          <w:ilvl w:val="0"/>
          <w:numId w:val="46"/>
        </w:numPr>
        <w:spacing w:after="0" w:line="240" w:lineRule="auto"/>
        <w:contextualSpacing w:val="0"/>
        <w:rPr>
          <w:rFonts w:cs="Times New Roman"/>
          <w:sz w:val="24"/>
          <w:szCs w:val="24"/>
        </w:rPr>
      </w:pPr>
      <w:r w:rsidRPr="00701B06">
        <w:rPr>
          <w:rFonts w:cs="Times New Roman"/>
          <w:sz w:val="24"/>
          <w:szCs w:val="24"/>
        </w:rPr>
        <w:t xml:space="preserve">Present documented industry case studies </w:t>
      </w:r>
      <w:r w:rsidR="00E14066" w:rsidRPr="00701B06">
        <w:rPr>
          <w:rFonts w:cs="Times New Roman"/>
          <w:sz w:val="24"/>
          <w:szCs w:val="24"/>
        </w:rPr>
        <w:t xml:space="preserve">that </w:t>
      </w:r>
      <w:r w:rsidRPr="00701B06">
        <w:rPr>
          <w:rFonts w:cs="Times New Roman"/>
          <w:sz w:val="24"/>
          <w:szCs w:val="24"/>
        </w:rPr>
        <w:t>illustrat</w:t>
      </w:r>
      <w:r w:rsidR="00E14066" w:rsidRPr="00701B06">
        <w:rPr>
          <w:rFonts w:cs="Times New Roman"/>
          <w:sz w:val="24"/>
          <w:szCs w:val="24"/>
        </w:rPr>
        <w:t>e</w:t>
      </w:r>
      <w:r w:rsidRPr="00701B06">
        <w:rPr>
          <w:rFonts w:cs="Times New Roman"/>
          <w:sz w:val="24"/>
          <w:szCs w:val="24"/>
        </w:rPr>
        <w:t xml:space="preserve"> failures and cost overruns in similar projects to validate the necessity of intervention.</w:t>
      </w:r>
    </w:p>
    <w:p w14:paraId="32E47D12" w14:textId="524606BE" w:rsidR="00E14066" w:rsidRPr="00701B06" w:rsidRDefault="00926F1C" w:rsidP="0051044E">
      <w:pPr>
        <w:pStyle w:val="ListParagraph"/>
        <w:numPr>
          <w:ilvl w:val="0"/>
          <w:numId w:val="46"/>
        </w:numPr>
        <w:spacing w:after="0" w:line="240" w:lineRule="auto"/>
        <w:contextualSpacing w:val="0"/>
        <w:rPr>
          <w:rFonts w:cs="Times New Roman"/>
          <w:sz w:val="24"/>
          <w:szCs w:val="24"/>
        </w:rPr>
      </w:pPr>
      <w:r w:rsidRPr="00701B06">
        <w:rPr>
          <w:rFonts w:cs="Times New Roman"/>
          <w:sz w:val="24"/>
          <w:szCs w:val="24"/>
        </w:rPr>
        <w:lastRenderedPageBreak/>
        <w:t xml:space="preserve">Advocate for preventive planning by outlining critical success factors </w:t>
      </w:r>
      <w:r w:rsidR="00164E72" w:rsidRPr="00701B06">
        <w:rPr>
          <w:rFonts w:cs="Times New Roman"/>
          <w:sz w:val="24"/>
          <w:szCs w:val="24"/>
        </w:rPr>
        <w:t xml:space="preserve">(CSFs) </w:t>
      </w:r>
      <w:r w:rsidRPr="00701B06">
        <w:rPr>
          <w:rFonts w:cs="Times New Roman"/>
          <w:sz w:val="24"/>
          <w:szCs w:val="24"/>
        </w:rPr>
        <w:t>that mitigate delays and improve project outcomes.</w:t>
      </w:r>
    </w:p>
    <w:p w14:paraId="5832B341" w14:textId="2E84ACC3" w:rsidR="00E76CE3" w:rsidRPr="00701B06" w:rsidRDefault="00E76CE3" w:rsidP="0051044E">
      <w:pPr>
        <w:pStyle w:val="ListParagraph"/>
        <w:spacing w:after="0" w:line="240" w:lineRule="auto"/>
        <w:contextualSpacing w:val="0"/>
        <w:rPr>
          <w:rFonts w:cs="Times New Roman"/>
          <w:sz w:val="24"/>
          <w:szCs w:val="24"/>
        </w:rPr>
      </w:pPr>
      <w:r w:rsidRPr="00701B06">
        <w:rPr>
          <w:rFonts w:cs="Times New Roman"/>
          <w:sz w:val="24"/>
          <w:szCs w:val="24"/>
        </w:rPr>
        <w:tab/>
      </w:r>
    </w:p>
    <w:p w14:paraId="50D80500" w14:textId="0A44A3A6" w:rsidR="00E14066" w:rsidRPr="00701B06" w:rsidRDefault="00E14066" w:rsidP="0051044E">
      <w:pPr>
        <w:pStyle w:val="Heading2"/>
        <w:spacing w:before="0" w:after="0" w:line="240" w:lineRule="auto"/>
        <w:rPr>
          <w:color w:val="auto"/>
        </w:rPr>
      </w:pPr>
      <w:r w:rsidRPr="00701B06">
        <w:rPr>
          <w:color w:val="auto"/>
        </w:rPr>
        <w:t>(2) E</w:t>
      </w:r>
      <w:r w:rsidR="00761E51" w:rsidRPr="00701B06">
        <w:rPr>
          <w:color w:val="auto"/>
        </w:rPr>
        <w:t xml:space="preserve">nsure smooth transitions across phases by clarifying activities and responsibilities, as organizational handoffs pose significant challenges to project and commissioning success. </w:t>
      </w:r>
      <w:r w:rsidR="00B043AF" w:rsidRPr="00701B06">
        <w:rPr>
          <w:color w:val="auto"/>
        </w:rPr>
        <w:t xml:space="preserve"> </w:t>
      </w:r>
    </w:p>
    <w:p w14:paraId="21A6095E" w14:textId="62DCEF5F" w:rsidR="00830C78" w:rsidRPr="00701B06" w:rsidRDefault="00B043AF" w:rsidP="0051044E">
      <w:pPr>
        <w:pStyle w:val="Heading2"/>
        <w:spacing w:before="0" w:after="0" w:line="240" w:lineRule="auto"/>
        <w:ind w:left="360"/>
        <w:rPr>
          <w:color w:val="auto"/>
        </w:rPr>
      </w:pPr>
      <w:r w:rsidRPr="00701B06">
        <w:rPr>
          <w:color w:val="auto"/>
        </w:rPr>
        <w:t>(</w:t>
      </w:r>
      <w:r w:rsidR="00DA085F" w:rsidRPr="00701B06">
        <w:rPr>
          <w:color w:val="auto"/>
        </w:rPr>
        <w:t>Project Phase:</w:t>
      </w:r>
      <w:r w:rsidR="002F77B4" w:rsidRPr="00701B06">
        <w:rPr>
          <w:color w:val="auto"/>
        </w:rPr>
        <w:t xml:space="preserve"> Construction through Turnover</w:t>
      </w:r>
      <w:r w:rsidR="00DA085F" w:rsidRPr="00701B06">
        <w:rPr>
          <w:color w:val="auto"/>
        </w:rPr>
        <w:t>)</w:t>
      </w:r>
    </w:p>
    <w:p w14:paraId="2445ACDE" w14:textId="0B496BB5" w:rsidR="00166FCC" w:rsidRPr="00701B06" w:rsidRDefault="00166FCC" w:rsidP="0051044E">
      <w:pPr>
        <w:pStyle w:val="ListParagraph"/>
        <w:numPr>
          <w:ilvl w:val="0"/>
          <w:numId w:val="47"/>
        </w:numPr>
        <w:spacing w:after="0" w:line="240" w:lineRule="auto"/>
        <w:contextualSpacing w:val="0"/>
        <w:rPr>
          <w:rFonts w:cs="Times New Roman"/>
          <w:sz w:val="24"/>
          <w:szCs w:val="24"/>
        </w:rPr>
      </w:pPr>
      <w:r w:rsidRPr="00701B06">
        <w:rPr>
          <w:rFonts w:cs="Times New Roman"/>
          <w:sz w:val="24"/>
          <w:szCs w:val="24"/>
        </w:rPr>
        <w:t xml:space="preserve">Conduct early alignment meetings </w:t>
      </w:r>
      <w:r w:rsidR="0016544F" w:rsidRPr="00701B06">
        <w:rPr>
          <w:rFonts w:cs="Times New Roman"/>
          <w:sz w:val="24"/>
          <w:szCs w:val="24"/>
        </w:rPr>
        <w:t>with</w:t>
      </w:r>
      <w:r w:rsidRPr="00701B06">
        <w:rPr>
          <w:rFonts w:cs="Times New Roman"/>
          <w:sz w:val="24"/>
          <w:szCs w:val="24"/>
        </w:rPr>
        <w:t xml:space="preserve"> construction, commissioning, and operations teams to agree on roles and transition plans​.</w:t>
      </w:r>
    </w:p>
    <w:p w14:paraId="200598D7" w14:textId="1747A095" w:rsidR="00166FCC" w:rsidRPr="00701B06" w:rsidRDefault="00166FCC" w:rsidP="0051044E">
      <w:pPr>
        <w:pStyle w:val="ListParagraph"/>
        <w:numPr>
          <w:ilvl w:val="0"/>
          <w:numId w:val="47"/>
        </w:numPr>
        <w:spacing w:after="0" w:line="240" w:lineRule="auto"/>
        <w:contextualSpacing w:val="0"/>
        <w:rPr>
          <w:rFonts w:cs="Times New Roman"/>
          <w:sz w:val="24"/>
          <w:szCs w:val="24"/>
        </w:rPr>
      </w:pPr>
      <w:r w:rsidRPr="00701B06">
        <w:rPr>
          <w:rFonts w:cs="Times New Roman"/>
          <w:sz w:val="24"/>
          <w:szCs w:val="24"/>
        </w:rPr>
        <w:t xml:space="preserve">Define and document system boundaries and priorities for </w:t>
      </w:r>
      <w:r w:rsidR="0016544F" w:rsidRPr="00701B06">
        <w:rPr>
          <w:rFonts w:cs="Times New Roman"/>
          <w:sz w:val="24"/>
          <w:szCs w:val="24"/>
        </w:rPr>
        <w:t xml:space="preserve">the </w:t>
      </w:r>
      <w:r w:rsidRPr="00701B06">
        <w:rPr>
          <w:rFonts w:cs="Times New Roman"/>
          <w:sz w:val="24"/>
          <w:szCs w:val="24"/>
        </w:rPr>
        <w:t>phase transitions in the project’s initial planning stages​.</w:t>
      </w:r>
    </w:p>
    <w:p w14:paraId="11C541EE" w14:textId="1CDD6CB6" w:rsidR="00166FCC" w:rsidRPr="00701B06" w:rsidRDefault="00166FCC" w:rsidP="0051044E">
      <w:pPr>
        <w:pStyle w:val="ListParagraph"/>
        <w:numPr>
          <w:ilvl w:val="0"/>
          <w:numId w:val="47"/>
        </w:numPr>
        <w:spacing w:after="0" w:line="240" w:lineRule="auto"/>
        <w:contextualSpacing w:val="0"/>
        <w:rPr>
          <w:rFonts w:cs="Times New Roman"/>
          <w:sz w:val="24"/>
          <w:szCs w:val="24"/>
        </w:rPr>
      </w:pPr>
      <w:r w:rsidRPr="00701B06">
        <w:rPr>
          <w:rFonts w:cs="Times New Roman"/>
          <w:sz w:val="24"/>
          <w:szCs w:val="24"/>
        </w:rPr>
        <w:t>Assign clear responsibilities and accountabilit</w:t>
      </w:r>
      <w:r w:rsidR="0016544F" w:rsidRPr="00701B06">
        <w:rPr>
          <w:rFonts w:cs="Times New Roman"/>
          <w:sz w:val="24"/>
          <w:szCs w:val="24"/>
        </w:rPr>
        <w:t>y</w:t>
      </w:r>
      <w:r w:rsidRPr="00701B06">
        <w:rPr>
          <w:rFonts w:cs="Times New Roman"/>
          <w:sz w:val="24"/>
          <w:szCs w:val="24"/>
        </w:rPr>
        <w:t xml:space="preserve"> for each phase using a RACI</w:t>
      </w:r>
      <w:r w:rsidR="001F2BFC" w:rsidRPr="00701B06">
        <w:rPr>
          <w:rFonts w:cs="Times New Roman"/>
          <w:sz w:val="24"/>
          <w:szCs w:val="24"/>
        </w:rPr>
        <w:t xml:space="preserve"> (</w:t>
      </w:r>
      <w:r w:rsidR="001F2BFC" w:rsidRPr="00701B06">
        <w:rPr>
          <w:rStyle w:val="Emphasis"/>
          <w:rFonts w:cs="Times New Roman"/>
          <w:i w:val="0"/>
          <w:iCs w:val="0"/>
          <w:sz w:val="24"/>
          <w:szCs w:val="24"/>
          <w:shd w:val="clear" w:color="auto" w:fill="FFFFFF"/>
        </w:rPr>
        <w:t>responsible, accountable, consulted, and informed</w:t>
      </w:r>
      <w:r w:rsidR="001F2BFC" w:rsidRPr="00701B06">
        <w:rPr>
          <w:rFonts w:cs="Times New Roman"/>
          <w:sz w:val="24"/>
          <w:szCs w:val="24"/>
          <w:shd w:val="clear" w:color="auto" w:fill="FFFFFF"/>
        </w:rPr>
        <w:t>) responsibility</w:t>
      </w:r>
      <w:r w:rsidRPr="00701B06">
        <w:rPr>
          <w:rFonts w:cs="Times New Roman"/>
          <w:sz w:val="24"/>
          <w:szCs w:val="24"/>
        </w:rPr>
        <w:t xml:space="preserve"> matrix to prevent role ambiguity.</w:t>
      </w:r>
    </w:p>
    <w:p w14:paraId="577F086C" w14:textId="021F3789" w:rsidR="00166FCC" w:rsidRPr="00701B06" w:rsidRDefault="00166FCC" w:rsidP="0051044E">
      <w:pPr>
        <w:pStyle w:val="ListParagraph"/>
        <w:numPr>
          <w:ilvl w:val="0"/>
          <w:numId w:val="47"/>
        </w:numPr>
        <w:spacing w:after="0" w:line="240" w:lineRule="auto"/>
        <w:contextualSpacing w:val="0"/>
        <w:rPr>
          <w:rFonts w:cs="Times New Roman"/>
          <w:sz w:val="24"/>
          <w:szCs w:val="24"/>
        </w:rPr>
      </w:pPr>
      <w:r w:rsidRPr="00701B06">
        <w:rPr>
          <w:rFonts w:cs="Times New Roman"/>
          <w:sz w:val="24"/>
          <w:szCs w:val="24"/>
        </w:rPr>
        <w:t xml:space="preserve">Establish and review transition plans periodically to ensure alignment and </w:t>
      </w:r>
      <w:r w:rsidR="001F2BFC" w:rsidRPr="00701B06">
        <w:rPr>
          <w:rFonts w:cs="Times New Roman"/>
          <w:sz w:val="24"/>
          <w:szCs w:val="24"/>
        </w:rPr>
        <w:t xml:space="preserve">to </w:t>
      </w:r>
      <w:r w:rsidRPr="00701B06">
        <w:rPr>
          <w:rFonts w:cs="Times New Roman"/>
          <w:sz w:val="24"/>
          <w:szCs w:val="24"/>
        </w:rPr>
        <w:t>address any changes in personnel or project requirements​.</w:t>
      </w:r>
    </w:p>
    <w:p w14:paraId="0870153A" w14:textId="75D76ACA" w:rsidR="00166FCC" w:rsidRPr="00701B06" w:rsidRDefault="00166FCC" w:rsidP="0051044E">
      <w:pPr>
        <w:pStyle w:val="ListParagraph"/>
        <w:numPr>
          <w:ilvl w:val="0"/>
          <w:numId w:val="47"/>
        </w:numPr>
        <w:spacing w:after="0" w:line="240" w:lineRule="auto"/>
        <w:contextualSpacing w:val="0"/>
        <w:rPr>
          <w:rFonts w:cs="Times New Roman"/>
          <w:sz w:val="24"/>
          <w:szCs w:val="24"/>
        </w:rPr>
      </w:pPr>
      <w:r w:rsidRPr="00701B06">
        <w:rPr>
          <w:rFonts w:cs="Times New Roman"/>
          <w:sz w:val="24"/>
          <w:szCs w:val="24"/>
        </w:rPr>
        <w:t>Integrate contract provisions that promote timely system turnover and reinforce responsibility for critical tasks.</w:t>
      </w:r>
    </w:p>
    <w:p w14:paraId="21925CE3" w14:textId="77777777" w:rsidR="001F2BFC" w:rsidRPr="00701B06" w:rsidRDefault="001F2BFC" w:rsidP="0051044E">
      <w:pPr>
        <w:pStyle w:val="ListParagraph"/>
        <w:spacing w:after="0" w:line="240" w:lineRule="auto"/>
        <w:contextualSpacing w:val="0"/>
        <w:rPr>
          <w:rFonts w:cs="Times New Roman"/>
          <w:sz w:val="24"/>
          <w:szCs w:val="24"/>
        </w:rPr>
      </w:pPr>
    </w:p>
    <w:p w14:paraId="7C1DA565" w14:textId="062122C8" w:rsidR="001F2BFC" w:rsidRPr="00701B06" w:rsidRDefault="001F2BFC" w:rsidP="0051044E">
      <w:pPr>
        <w:pStyle w:val="Heading2"/>
        <w:spacing w:before="0" w:after="0" w:line="240" w:lineRule="auto"/>
        <w:rPr>
          <w:color w:val="auto"/>
        </w:rPr>
      </w:pPr>
      <w:r w:rsidRPr="00701B06">
        <w:rPr>
          <w:color w:val="auto"/>
        </w:rPr>
        <w:t>(3) I</w:t>
      </w:r>
      <w:r w:rsidR="00B658BE" w:rsidRPr="00701B06">
        <w:rPr>
          <w:color w:val="auto"/>
        </w:rPr>
        <w:t xml:space="preserve">ntegrate </w:t>
      </w:r>
      <w:r w:rsidRPr="00701B06">
        <w:rPr>
          <w:color w:val="auto"/>
        </w:rPr>
        <w:t xml:space="preserve">the </w:t>
      </w:r>
      <w:r w:rsidR="00B658BE" w:rsidRPr="00701B06">
        <w:rPr>
          <w:color w:val="auto"/>
        </w:rPr>
        <w:t>17-step C</w:t>
      </w:r>
      <w:r w:rsidR="00FE747F" w:rsidRPr="00701B06">
        <w:rPr>
          <w:color w:val="auto"/>
        </w:rPr>
        <w:t xml:space="preserve">onstruction </w:t>
      </w:r>
      <w:r w:rsidR="00B658BE" w:rsidRPr="00701B06">
        <w:rPr>
          <w:color w:val="auto"/>
        </w:rPr>
        <w:t xml:space="preserve">CSU </w:t>
      </w:r>
      <w:r w:rsidR="00FE747F" w:rsidRPr="00701B06">
        <w:rPr>
          <w:color w:val="auto"/>
        </w:rPr>
        <w:t xml:space="preserve">(CCSU) </w:t>
      </w:r>
      <w:r w:rsidR="00B658BE" w:rsidRPr="00701B06">
        <w:rPr>
          <w:color w:val="auto"/>
        </w:rPr>
        <w:t xml:space="preserve">process by combining key insights from CII Research Teams 121, 312, and 333 on commissioning. </w:t>
      </w:r>
    </w:p>
    <w:p w14:paraId="7DB34570" w14:textId="112CBB64" w:rsidR="00D805A5" w:rsidRPr="00701B06" w:rsidRDefault="00DA085F" w:rsidP="0051044E">
      <w:pPr>
        <w:pStyle w:val="Heading2"/>
        <w:spacing w:before="0" w:after="0" w:line="240" w:lineRule="auto"/>
        <w:ind w:firstLine="360"/>
        <w:rPr>
          <w:color w:val="auto"/>
        </w:rPr>
      </w:pPr>
      <w:r w:rsidRPr="00701B06">
        <w:rPr>
          <w:color w:val="auto"/>
        </w:rPr>
        <w:t>(Project Phase:</w:t>
      </w:r>
      <w:r w:rsidR="002F77B4" w:rsidRPr="00701B06">
        <w:rPr>
          <w:color w:val="auto"/>
        </w:rPr>
        <w:t xml:space="preserve"> Construction through Turnover</w:t>
      </w:r>
      <w:r w:rsidRPr="00701B06">
        <w:rPr>
          <w:color w:val="auto"/>
        </w:rPr>
        <w:t>)</w:t>
      </w:r>
    </w:p>
    <w:p w14:paraId="6104AD4E" w14:textId="6E3979F2" w:rsidR="006A1016" w:rsidRPr="00701B06" w:rsidRDefault="006A1016" w:rsidP="0051044E">
      <w:pPr>
        <w:pStyle w:val="ListParagraph"/>
        <w:numPr>
          <w:ilvl w:val="0"/>
          <w:numId w:val="48"/>
        </w:numPr>
        <w:spacing w:after="0" w:line="240" w:lineRule="auto"/>
        <w:contextualSpacing w:val="0"/>
        <w:rPr>
          <w:rFonts w:cs="Times New Roman"/>
          <w:sz w:val="24"/>
          <w:szCs w:val="24"/>
        </w:rPr>
      </w:pPr>
      <w:r w:rsidRPr="00701B06">
        <w:rPr>
          <w:rFonts w:cs="Times New Roman"/>
          <w:sz w:val="24"/>
          <w:szCs w:val="24"/>
        </w:rPr>
        <w:t xml:space="preserve">Identify CSU requirements early in </w:t>
      </w:r>
      <w:r w:rsidR="00FE747F" w:rsidRPr="00701B06">
        <w:rPr>
          <w:rFonts w:cs="Times New Roman"/>
          <w:sz w:val="24"/>
          <w:szCs w:val="24"/>
        </w:rPr>
        <w:t xml:space="preserve">the </w:t>
      </w:r>
      <w:r w:rsidRPr="00701B06">
        <w:rPr>
          <w:rFonts w:cs="Times New Roman"/>
          <w:sz w:val="24"/>
          <w:szCs w:val="24"/>
        </w:rPr>
        <w:t xml:space="preserve">project planning </w:t>
      </w:r>
      <w:r w:rsidR="00FE747F" w:rsidRPr="00701B06">
        <w:rPr>
          <w:rFonts w:cs="Times New Roman"/>
          <w:sz w:val="24"/>
          <w:szCs w:val="24"/>
        </w:rPr>
        <w:t xml:space="preserve">stage </w:t>
      </w:r>
      <w:r w:rsidRPr="00701B06">
        <w:rPr>
          <w:rFonts w:cs="Times New Roman"/>
          <w:sz w:val="24"/>
          <w:szCs w:val="24"/>
        </w:rPr>
        <w:t>to ensure readiness across all phases.</w:t>
      </w:r>
    </w:p>
    <w:p w14:paraId="0B797FF3" w14:textId="57637BF7" w:rsidR="006A1016" w:rsidRPr="00701B06" w:rsidRDefault="006A1016" w:rsidP="0051044E">
      <w:pPr>
        <w:pStyle w:val="ListParagraph"/>
        <w:numPr>
          <w:ilvl w:val="0"/>
          <w:numId w:val="48"/>
        </w:numPr>
        <w:spacing w:after="0" w:line="240" w:lineRule="auto"/>
        <w:contextualSpacing w:val="0"/>
        <w:rPr>
          <w:rFonts w:cs="Times New Roman"/>
          <w:sz w:val="24"/>
          <w:szCs w:val="24"/>
        </w:rPr>
      </w:pPr>
      <w:r w:rsidRPr="00701B06">
        <w:rPr>
          <w:rFonts w:cs="Times New Roman"/>
          <w:sz w:val="24"/>
          <w:szCs w:val="24"/>
        </w:rPr>
        <w:t xml:space="preserve">Use the </w:t>
      </w:r>
      <w:hyperlink r:id="rId11" w:history="1">
        <w:r w:rsidR="0051044E" w:rsidRPr="0051044E">
          <w:rPr>
            <w:rStyle w:val="Hyperlink"/>
            <w:sz w:val="24"/>
            <w:szCs w:val="24"/>
            <w:lang w:eastAsia="zh-CN"/>
          </w:rPr>
          <w:t>SP333-1</w:t>
        </w:r>
      </w:hyperlink>
      <w:r w:rsidR="0051044E">
        <w:rPr>
          <w:sz w:val="24"/>
          <w:szCs w:val="24"/>
          <w:lang w:eastAsia="zh-CN"/>
        </w:rPr>
        <w:t xml:space="preserve"> </w:t>
      </w:r>
      <w:r w:rsidRPr="00701B06">
        <w:rPr>
          <w:rFonts w:cs="Times New Roman"/>
          <w:sz w:val="24"/>
          <w:szCs w:val="24"/>
        </w:rPr>
        <w:t>CCSU flowchart to map critical activities and establish timelines​​.</w:t>
      </w:r>
    </w:p>
    <w:p w14:paraId="4F2E555C" w14:textId="39B95BCC" w:rsidR="006A1016" w:rsidRPr="00701B06" w:rsidRDefault="006A1016" w:rsidP="0051044E">
      <w:pPr>
        <w:pStyle w:val="ListParagraph"/>
        <w:numPr>
          <w:ilvl w:val="0"/>
          <w:numId w:val="48"/>
        </w:numPr>
        <w:spacing w:after="0" w:line="240" w:lineRule="auto"/>
        <w:contextualSpacing w:val="0"/>
        <w:rPr>
          <w:rFonts w:cs="Times New Roman"/>
          <w:sz w:val="24"/>
          <w:szCs w:val="24"/>
        </w:rPr>
      </w:pPr>
      <w:r w:rsidRPr="00701B06">
        <w:rPr>
          <w:rFonts w:cs="Times New Roman"/>
          <w:sz w:val="24"/>
          <w:szCs w:val="24"/>
        </w:rPr>
        <w:t xml:space="preserve">Apply </w:t>
      </w:r>
      <w:hyperlink r:id="rId12" w:history="1">
        <w:r w:rsidR="0051044E" w:rsidRPr="0051044E">
          <w:rPr>
            <w:rStyle w:val="Hyperlink"/>
            <w:sz w:val="24"/>
            <w:szCs w:val="24"/>
            <w:lang w:eastAsia="zh-CN"/>
          </w:rPr>
          <w:t>RS312-1</w:t>
        </w:r>
      </w:hyperlink>
      <w:r w:rsidRPr="00701B06">
        <w:rPr>
          <w:rFonts w:cs="Times New Roman"/>
          <w:sz w:val="24"/>
          <w:szCs w:val="24"/>
        </w:rPr>
        <w:t xml:space="preserve">’s CSU </w:t>
      </w:r>
      <w:r w:rsidR="00FE747F" w:rsidRPr="00701B06">
        <w:rPr>
          <w:rFonts w:cs="Times New Roman"/>
          <w:sz w:val="24"/>
          <w:szCs w:val="24"/>
        </w:rPr>
        <w:t xml:space="preserve">CSFs </w:t>
      </w:r>
      <w:r w:rsidRPr="00701B06">
        <w:rPr>
          <w:rFonts w:cs="Times New Roman"/>
          <w:sz w:val="24"/>
          <w:szCs w:val="24"/>
        </w:rPr>
        <w:t>to guide team alignment and accountability​.</w:t>
      </w:r>
    </w:p>
    <w:p w14:paraId="3F8D7A39" w14:textId="31106BCF" w:rsidR="006A1016" w:rsidRPr="00701B06" w:rsidRDefault="006A1016" w:rsidP="0051044E">
      <w:pPr>
        <w:pStyle w:val="ListParagraph"/>
        <w:numPr>
          <w:ilvl w:val="0"/>
          <w:numId w:val="48"/>
        </w:numPr>
        <w:spacing w:after="0" w:line="240" w:lineRule="auto"/>
        <w:contextualSpacing w:val="0"/>
        <w:rPr>
          <w:rFonts w:cs="Times New Roman"/>
          <w:sz w:val="24"/>
          <w:szCs w:val="24"/>
        </w:rPr>
      </w:pPr>
      <w:r w:rsidRPr="00701B06">
        <w:rPr>
          <w:rFonts w:cs="Times New Roman"/>
          <w:sz w:val="24"/>
          <w:szCs w:val="24"/>
        </w:rPr>
        <w:t xml:space="preserve">Establish a RACI </w:t>
      </w:r>
      <w:r w:rsidR="00FE747F" w:rsidRPr="00701B06">
        <w:rPr>
          <w:rFonts w:cs="Times New Roman"/>
          <w:sz w:val="24"/>
          <w:szCs w:val="24"/>
        </w:rPr>
        <w:t xml:space="preserve">responsibility </w:t>
      </w:r>
      <w:r w:rsidRPr="00701B06">
        <w:rPr>
          <w:rFonts w:cs="Times New Roman"/>
          <w:sz w:val="24"/>
          <w:szCs w:val="24"/>
        </w:rPr>
        <w:t>matrix for each activity to clarify roles and ensure efficient handovers​.</w:t>
      </w:r>
    </w:p>
    <w:p w14:paraId="0B03892F" w14:textId="0F2D17D8" w:rsidR="006A1016" w:rsidRPr="00701B06" w:rsidRDefault="006A1016" w:rsidP="0051044E">
      <w:pPr>
        <w:pStyle w:val="ListParagraph"/>
        <w:numPr>
          <w:ilvl w:val="0"/>
          <w:numId w:val="48"/>
        </w:numPr>
        <w:spacing w:after="0" w:line="240" w:lineRule="auto"/>
        <w:contextualSpacing w:val="0"/>
        <w:rPr>
          <w:rFonts w:cs="Times New Roman"/>
          <w:sz w:val="24"/>
          <w:szCs w:val="24"/>
        </w:rPr>
      </w:pPr>
      <w:r w:rsidRPr="00701B06">
        <w:rPr>
          <w:rFonts w:cs="Times New Roman"/>
          <w:sz w:val="24"/>
          <w:szCs w:val="24"/>
        </w:rPr>
        <w:t xml:space="preserve">Conduct periodic reviews of </w:t>
      </w:r>
      <w:r w:rsidR="00FE747F" w:rsidRPr="00701B06">
        <w:rPr>
          <w:rFonts w:cs="Times New Roman"/>
          <w:sz w:val="24"/>
          <w:szCs w:val="24"/>
        </w:rPr>
        <w:t xml:space="preserve">the </w:t>
      </w:r>
      <w:r w:rsidRPr="00701B06">
        <w:rPr>
          <w:rFonts w:cs="Times New Roman"/>
          <w:sz w:val="24"/>
          <w:szCs w:val="24"/>
        </w:rPr>
        <w:t xml:space="preserve">CSU budget and schedule to address any emerging </w:t>
      </w:r>
      <w:r w:rsidR="00E14066" w:rsidRPr="00701B06">
        <w:rPr>
          <w:rFonts w:cs="Times New Roman"/>
          <w:sz w:val="24"/>
          <w:szCs w:val="24"/>
        </w:rPr>
        <w:t>hot spots</w:t>
      </w:r>
      <w:r w:rsidRPr="00701B06">
        <w:rPr>
          <w:rFonts w:cs="Times New Roman"/>
          <w:sz w:val="24"/>
          <w:szCs w:val="24"/>
        </w:rPr>
        <w:t xml:space="preserve"> proactively.</w:t>
      </w:r>
    </w:p>
    <w:p w14:paraId="453AC7F2" w14:textId="77777777" w:rsidR="00FE747F" w:rsidRPr="00701B06" w:rsidRDefault="00FE747F" w:rsidP="0051044E">
      <w:pPr>
        <w:pStyle w:val="ListParagraph"/>
        <w:spacing w:after="0" w:line="240" w:lineRule="auto"/>
        <w:contextualSpacing w:val="0"/>
        <w:rPr>
          <w:rFonts w:cs="Times New Roman"/>
          <w:sz w:val="24"/>
          <w:szCs w:val="24"/>
        </w:rPr>
      </w:pPr>
    </w:p>
    <w:p w14:paraId="6EB297A2" w14:textId="5F0BB71B" w:rsidR="00FE747F" w:rsidRPr="00701B06" w:rsidRDefault="00FE747F" w:rsidP="0051044E">
      <w:pPr>
        <w:pStyle w:val="Heading2"/>
        <w:spacing w:before="0" w:after="0" w:line="240" w:lineRule="auto"/>
        <w:rPr>
          <w:color w:val="auto"/>
        </w:rPr>
      </w:pPr>
      <w:r w:rsidRPr="00701B06">
        <w:rPr>
          <w:color w:val="auto"/>
        </w:rPr>
        <w:t>(4) O</w:t>
      </w:r>
      <w:r w:rsidR="008F7605" w:rsidRPr="00701B06">
        <w:rPr>
          <w:color w:val="auto"/>
        </w:rPr>
        <w:t xml:space="preserve">rganize a flowchart of 124 activities by project phase and four thematic swim-lanes. </w:t>
      </w:r>
    </w:p>
    <w:p w14:paraId="12B5FEC9" w14:textId="1B1AD037" w:rsidR="002147F6" w:rsidRPr="00701B06" w:rsidRDefault="00DA085F" w:rsidP="0051044E">
      <w:pPr>
        <w:pStyle w:val="Heading2"/>
        <w:spacing w:before="0" w:after="0" w:line="240" w:lineRule="auto"/>
        <w:ind w:left="360"/>
        <w:rPr>
          <w:color w:val="auto"/>
        </w:rPr>
      </w:pPr>
      <w:r w:rsidRPr="00701B06">
        <w:rPr>
          <w:color w:val="auto"/>
        </w:rPr>
        <w:t>(Project Phase:</w:t>
      </w:r>
      <w:r w:rsidR="002F77B4" w:rsidRPr="00701B06">
        <w:rPr>
          <w:color w:val="auto"/>
        </w:rPr>
        <w:t xml:space="preserve"> Construction through Turnover</w:t>
      </w:r>
      <w:r w:rsidRPr="00701B06">
        <w:rPr>
          <w:color w:val="auto"/>
        </w:rPr>
        <w:t>)</w:t>
      </w:r>
    </w:p>
    <w:p w14:paraId="4ECC36A8" w14:textId="36B6B01A" w:rsidR="00041361" w:rsidRPr="00701B06" w:rsidRDefault="00041361" w:rsidP="0051044E">
      <w:pPr>
        <w:pStyle w:val="ListParagraph"/>
        <w:numPr>
          <w:ilvl w:val="0"/>
          <w:numId w:val="49"/>
        </w:numPr>
        <w:spacing w:after="0" w:line="240" w:lineRule="auto"/>
        <w:contextualSpacing w:val="0"/>
        <w:rPr>
          <w:rFonts w:cs="Times New Roman"/>
          <w:sz w:val="24"/>
          <w:szCs w:val="24"/>
        </w:rPr>
      </w:pPr>
      <w:r w:rsidRPr="00701B06">
        <w:rPr>
          <w:rFonts w:cs="Times New Roman"/>
          <w:sz w:val="24"/>
          <w:szCs w:val="24"/>
        </w:rPr>
        <w:t xml:space="preserve">Sequence activities by project phase, covering </w:t>
      </w:r>
      <w:r w:rsidR="005264A1" w:rsidRPr="00701B06">
        <w:rPr>
          <w:rFonts w:cs="Times New Roman"/>
          <w:sz w:val="24"/>
          <w:szCs w:val="24"/>
        </w:rPr>
        <w:t>construction, precommissioning, commissioning, start-up, and close-out,</w:t>
      </w:r>
      <w:r w:rsidRPr="00701B06">
        <w:rPr>
          <w:rFonts w:cs="Times New Roman"/>
          <w:sz w:val="24"/>
          <w:szCs w:val="24"/>
        </w:rPr>
        <w:t xml:space="preserve"> to facilitate smooth </w:t>
      </w:r>
      <w:r w:rsidR="005264A1" w:rsidRPr="00701B06">
        <w:rPr>
          <w:rFonts w:cs="Times New Roman"/>
          <w:sz w:val="24"/>
          <w:szCs w:val="24"/>
        </w:rPr>
        <w:t xml:space="preserve">phase </w:t>
      </w:r>
      <w:r w:rsidRPr="00701B06">
        <w:rPr>
          <w:rFonts w:cs="Times New Roman"/>
          <w:sz w:val="24"/>
          <w:szCs w:val="24"/>
        </w:rPr>
        <w:t>transitions.</w:t>
      </w:r>
    </w:p>
    <w:p w14:paraId="0B599EA8" w14:textId="3DF076EC" w:rsidR="00041361" w:rsidRPr="00701B06" w:rsidRDefault="00041361" w:rsidP="0051044E">
      <w:pPr>
        <w:pStyle w:val="ListParagraph"/>
        <w:numPr>
          <w:ilvl w:val="0"/>
          <w:numId w:val="49"/>
        </w:numPr>
        <w:spacing w:after="0" w:line="240" w:lineRule="auto"/>
        <w:contextualSpacing w:val="0"/>
        <w:rPr>
          <w:rFonts w:cs="Times New Roman"/>
          <w:sz w:val="24"/>
          <w:szCs w:val="24"/>
        </w:rPr>
      </w:pPr>
      <w:r w:rsidRPr="00701B06">
        <w:rPr>
          <w:rFonts w:cs="Times New Roman"/>
          <w:sz w:val="24"/>
          <w:szCs w:val="24"/>
        </w:rPr>
        <w:t>Divide activities into four swim-lanes</w:t>
      </w:r>
      <w:r w:rsidR="005264A1" w:rsidRPr="00701B06">
        <w:rPr>
          <w:rFonts w:cs="Times New Roman"/>
          <w:sz w:val="24"/>
          <w:szCs w:val="24"/>
        </w:rPr>
        <w:t>,</w:t>
      </w:r>
      <w:r w:rsidRPr="00701B06">
        <w:rPr>
          <w:rFonts w:cs="Times New Roman"/>
          <w:sz w:val="24"/>
          <w:szCs w:val="24"/>
        </w:rPr>
        <w:t xml:space="preserve"> </w:t>
      </w:r>
      <w:r w:rsidR="00F54152" w:rsidRPr="00701B06">
        <w:rPr>
          <w:rFonts w:cs="Times New Roman"/>
          <w:sz w:val="24"/>
          <w:szCs w:val="24"/>
        </w:rPr>
        <w:t xml:space="preserve">i.e., </w:t>
      </w:r>
      <w:r w:rsidRPr="00701B06">
        <w:rPr>
          <w:rFonts w:cs="Times New Roman"/>
          <w:sz w:val="24"/>
          <w:szCs w:val="24"/>
        </w:rPr>
        <w:t>planning/scheduling, materials/equipment, subsystems/systems, and data/documentation</w:t>
      </w:r>
      <w:r w:rsidR="005264A1" w:rsidRPr="00701B06">
        <w:rPr>
          <w:rFonts w:cs="Times New Roman"/>
          <w:sz w:val="24"/>
          <w:szCs w:val="24"/>
        </w:rPr>
        <w:t>,</w:t>
      </w:r>
      <w:r w:rsidRPr="00701B06">
        <w:rPr>
          <w:rFonts w:cs="Times New Roman"/>
          <w:sz w:val="24"/>
          <w:szCs w:val="24"/>
        </w:rPr>
        <w:t xml:space="preserve"> to enhance task organization.</w:t>
      </w:r>
    </w:p>
    <w:p w14:paraId="08283B6C" w14:textId="5BBA466C" w:rsidR="00041361" w:rsidRPr="00701B06" w:rsidRDefault="00041361" w:rsidP="0051044E">
      <w:pPr>
        <w:pStyle w:val="ListParagraph"/>
        <w:numPr>
          <w:ilvl w:val="0"/>
          <w:numId w:val="49"/>
        </w:numPr>
        <w:spacing w:after="0" w:line="240" w:lineRule="auto"/>
        <w:contextualSpacing w:val="0"/>
        <w:rPr>
          <w:rFonts w:cs="Times New Roman"/>
          <w:sz w:val="24"/>
          <w:szCs w:val="24"/>
        </w:rPr>
      </w:pPr>
      <w:r w:rsidRPr="00701B06">
        <w:rPr>
          <w:rFonts w:cs="Times New Roman"/>
          <w:sz w:val="24"/>
          <w:szCs w:val="24"/>
        </w:rPr>
        <w:t xml:space="preserve">Label activities as </w:t>
      </w:r>
      <w:r w:rsidR="005264A1" w:rsidRPr="00701B06">
        <w:rPr>
          <w:rFonts w:cs="Times New Roman"/>
          <w:sz w:val="24"/>
          <w:szCs w:val="24"/>
        </w:rPr>
        <w:t xml:space="preserve">early, mid, or late </w:t>
      </w:r>
      <w:r w:rsidRPr="00701B06">
        <w:rPr>
          <w:rFonts w:cs="Times New Roman"/>
          <w:sz w:val="24"/>
          <w:szCs w:val="24"/>
        </w:rPr>
        <w:t>within each phase to guide resource planning and execution timing.</w:t>
      </w:r>
    </w:p>
    <w:p w14:paraId="0A7C4E0B" w14:textId="56AA3AD9" w:rsidR="00041361" w:rsidRPr="00701B06" w:rsidRDefault="00041361" w:rsidP="0051044E">
      <w:pPr>
        <w:pStyle w:val="ListParagraph"/>
        <w:numPr>
          <w:ilvl w:val="0"/>
          <w:numId w:val="49"/>
        </w:numPr>
        <w:spacing w:after="0" w:line="240" w:lineRule="auto"/>
        <w:contextualSpacing w:val="0"/>
        <w:rPr>
          <w:rFonts w:cs="Times New Roman"/>
          <w:sz w:val="24"/>
          <w:szCs w:val="24"/>
        </w:rPr>
      </w:pPr>
      <w:r w:rsidRPr="00701B06">
        <w:rPr>
          <w:rFonts w:cs="Times New Roman"/>
          <w:sz w:val="24"/>
          <w:szCs w:val="24"/>
        </w:rPr>
        <w:t xml:space="preserve">Highlight critical hot spot activities that commonly </w:t>
      </w:r>
      <w:r w:rsidR="005264A1" w:rsidRPr="00701B06">
        <w:rPr>
          <w:rFonts w:cs="Times New Roman"/>
          <w:sz w:val="24"/>
          <w:szCs w:val="24"/>
        </w:rPr>
        <w:t xml:space="preserve">have </w:t>
      </w:r>
      <w:proofErr w:type="gramStart"/>
      <w:r w:rsidR="005264A1" w:rsidRPr="00701B06">
        <w:rPr>
          <w:rFonts w:cs="Times New Roman"/>
          <w:sz w:val="24"/>
          <w:szCs w:val="24"/>
        </w:rPr>
        <w:t>challenges</w:t>
      </w:r>
      <w:r w:rsidRPr="00701B06">
        <w:rPr>
          <w:rFonts w:cs="Times New Roman"/>
          <w:sz w:val="24"/>
          <w:szCs w:val="24"/>
        </w:rPr>
        <w:t>,</w:t>
      </w:r>
      <w:r w:rsidR="005264A1" w:rsidRPr="00701B06">
        <w:rPr>
          <w:rFonts w:cs="Times New Roman"/>
          <w:sz w:val="24"/>
          <w:szCs w:val="24"/>
        </w:rPr>
        <w:t xml:space="preserve"> and</w:t>
      </w:r>
      <w:proofErr w:type="gramEnd"/>
      <w:r w:rsidR="005264A1" w:rsidRPr="00701B06">
        <w:rPr>
          <w:rFonts w:cs="Times New Roman"/>
          <w:sz w:val="24"/>
          <w:szCs w:val="24"/>
        </w:rPr>
        <w:t xml:space="preserve"> </w:t>
      </w:r>
      <w:r w:rsidRPr="00701B06">
        <w:rPr>
          <w:rFonts w:cs="Times New Roman"/>
          <w:sz w:val="24"/>
          <w:szCs w:val="24"/>
        </w:rPr>
        <w:t>ensur</w:t>
      </w:r>
      <w:r w:rsidR="005264A1" w:rsidRPr="00701B06">
        <w:rPr>
          <w:rFonts w:cs="Times New Roman"/>
          <w:sz w:val="24"/>
          <w:szCs w:val="24"/>
        </w:rPr>
        <w:t>e that</w:t>
      </w:r>
      <w:r w:rsidRPr="00701B06">
        <w:rPr>
          <w:rFonts w:cs="Times New Roman"/>
          <w:sz w:val="24"/>
          <w:szCs w:val="24"/>
        </w:rPr>
        <w:t xml:space="preserve"> teams prioritize these areas.</w:t>
      </w:r>
    </w:p>
    <w:p w14:paraId="4B2051D2" w14:textId="5674F0A6" w:rsidR="00830C78" w:rsidRPr="00701B06" w:rsidRDefault="00041361" w:rsidP="0051044E">
      <w:pPr>
        <w:pStyle w:val="ListParagraph"/>
        <w:numPr>
          <w:ilvl w:val="0"/>
          <w:numId w:val="49"/>
        </w:numPr>
        <w:spacing w:after="0" w:line="240" w:lineRule="auto"/>
        <w:contextualSpacing w:val="0"/>
        <w:rPr>
          <w:rFonts w:cs="Times New Roman"/>
          <w:sz w:val="24"/>
          <w:szCs w:val="24"/>
        </w:rPr>
      </w:pPr>
      <w:r w:rsidRPr="00701B06">
        <w:rPr>
          <w:rFonts w:cs="Times New Roman"/>
          <w:sz w:val="24"/>
          <w:szCs w:val="24"/>
        </w:rPr>
        <w:t>Use the flowchart as a central reference in planning meetings to align team roles and responsibilities across phases.</w:t>
      </w:r>
      <w:r w:rsidR="00605512" w:rsidRPr="00701B06">
        <w:rPr>
          <w:rFonts w:cs="Times New Roman"/>
          <w:sz w:val="24"/>
          <w:szCs w:val="24"/>
        </w:rPr>
        <w:tab/>
      </w:r>
    </w:p>
    <w:p w14:paraId="510B69E4" w14:textId="77777777" w:rsidR="005264A1" w:rsidRPr="00701B06" w:rsidRDefault="005264A1" w:rsidP="0051044E">
      <w:pPr>
        <w:pStyle w:val="ListParagraph"/>
        <w:spacing w:after="0" w:line="240" w:lineRule="auto"/>
        <w:contextualSpacing w:val="0"/>
        <w:rPr>
          <w:rFonts w:cs="Times New Roman"/>
          <w:sz w:val="24"/>
          <w:szCs w:val="24"/>
        </w:rPr>
      </w:pPr>
    </w:p>
    <w:p w14:paraId="76DDA99B" w14:textId="01EE8EBD" w:rsidR="005264A1" w:rsidRPr="00701B06" w:rsidRDefault="005264A1" w:rsidP="0051044E">
      <w:pPr>
        <w:pStyle w:val="Heading2"/>
        <w:spacing w:before="0" w:after="0" w:line="240" w:lineRule="auto"/>
        <w:rPr>
          <w:color w:val="auto"/>
        </w:rPr>
      </w:pPr>
      <w:r w:rsidRPr="00701B06">
        <w:rPr>
          <w:color w:val="auto"/>
        </w:rPr>
        <w:lastRenderedPageBreak/>
        <w:t>(5) M</w:t>
      </w:r>
      <w:r w:rsidR="00CF37D4" w:rsidRPr="00701B06">
        <w:rPr>
          <w:color w:val="auto"/>
        </w:rPr>
        <w:t xml:space="preserve">ap the CCSU RACI </w:t>
      </w:r>
      <w:r w:rsidRPr="00701B06">
        <w:rPr>
          <w:color w:val="auto"/>
        </w:rPr>
        <w:t xml:space="preserve">responsibility </w:t>
      </w:r>
      <w:r w:rsidR="00CF37D4" w:rsidRPr="00701B06">
        <w:rPr>
          <w:color w:val="auto"/>
        </w:rPr>
        <w:t xml:space="preserve">matrix for 124 activities across 60 functions, assigning key responsibilities as a foundation for project-specific management discussions. </w:t>
      </w:r>
    </w:p>
    <w:p w14:paraId="6675ED00" w14:textId="0F562532" w:rsidR="005205BD" w:rsidRPr="00701B06" w:rsidRDefault="00DA085F" w:rsidP="0051044E">
      <w:pPr>
        <w:pStyle w:val="Heading2"/>
        <w:spacing w:before="0" w:after="0" w:line="240" w:lineRule="auto"/>
        <w:ind w:firstLine="360"/>
        <w:rPr>
          <w:color w:val="auto"/>
        </w:rPr>
      </w:pPr>
      <w:r w:rsidRPr="00701B06">
        <w:rPr>
          <w:color w:val="auto"/>
        </w:rPr>
        <w:t>(Project Phase:</w:t>
      </w:r>
      <w:r w:rsidR="00425510" w:rsidRPr="00701B06">
        <w:rPr>
          <w:color w:val="auto"/>
        </w:rPr>
        <w:t xml:space="preserve"> Construction</w:t>
      </w:r>
      <w:r w:rsidR="002F77B4" w:rsidRPr="00701B06">
        <w:rPr>
          <w:color w:val="auto"/>
        </w:rPr>
        <w:t xml:space="preserve"> through Turnover</w:t>
      </w:r>
      <w:r w:rsidRPr="00701B06">
        <w:rPr>
          <w:color w:val="auto"/>
        </w:rPr>
        <w:t>)</w:t>
      </w:r>
    </w:p>
    <w:p w14:paraId="1FD84A4A" w14:textId="305DA23B" w:rsidR="005172C4" w:rsidRPr="00701B06" w:rsidRDefault="005172C4" w:rsidP="0051044E">
      <w:pPr>
        <w:pStyle w:val="ListParagraph"/>
        <w:numPr>
          <w:ilvl w:val="0"/>
          <w:numId w:val="50"/>
        </w:numPr>
        <w:spacing w:after="0" w:line="240" w:lineRule="auto"/>
        <w:contextualSpacing w:val="0"/>
        <w:rPr>
          <w:rFonts w:cs="Times New Roman"/>
          <w:sz w:val="24"/>
          <w:szCs w:val="24"/>
        </w:rPr>
      </w:pPr>
      <w:r w:rsidRPr="00701B06">
        <w:rPr>
          <w:rFonts w:cs="Times New Roman"/>
          <w:sz w:val="24"/>
          <w:szCs w:val="24"/>
        </w:rPr>
        <w:t xml:space="preserve">Identify critical CCSU activities and assign responsibility to </w:t>
      </w:r>
      <w:r w:rsidR="005264A1" w:rsidRPr="00701B06">
        <w:rPr>
          <w:rFonts w:cs="Times New Roman"/>
          <w:sz w:val="24"/>
          <w:szCs w:val="24"/>
        </w:rPr>
        <w:t xml:space="preserve">the </w:t>
      </w:r>
      <w:r w:rsidRPr="00701B06">
        <w:rPr>
          <w:rFonts w:cs="Times New Roman"/>
          <w:sz w:val="24"/>
          <w:szCs w:val="24"/>
        </w:rPr>
        <w:t xml:space="preserve">relevant project functions based on the RACI </w:t>
      </w:r>
      <w:r w:rsidR="005264A1" w:rsidRPr="00701B06">
        <w:rPr>
          <w:rFonts w:cs="Times New Roman"/>
          <w:sz w:val="24"/>
          <w:szCs w:val="24"/>
        </w:rPr>
        <w:t xml:space="preserve">responsibility </w:t>
      </w:r>
      <w:r w:rsidRPr="00701B06">
        <w:rPr>
          <w:rFonts w:cs="Times New Roman"/>
          <w:sz w:val="24"/>
          <w:szCs w:val="24"/>
        </w:rPr>
        <w:t>matrix.</w:t>
      </w:r>
    </w:p>
    <w:p w14:paraId="47A6ADDB" w14:textId="582BC45B" w:rsidR="005172C4" w:rsidRPr="00701B06" w:rsidRDefault="005172C4" w:rsidP="0051044E">
      <w:pPr>
        <w:pStyle w:val="ListParagraph"/>
        <w:numPr>
          <w:ilvl w:val="0"/>
          <w:numId w:val="50"/>
        </w:numPr>
        <w:spacing w:after="0" w:line="240" w:lineRule="auto"/>
        <w:contextualSpacing w:val="0"/>
        <w:rPr>
          <w:rFonts w:cs="Times New Roman"/>
          <w:sz w:val="24"/>
          <w:szCs w:val="24"/>
        </w:rPr>
      </w:pPr>
      <w:r w:rsidRPr="00701B06">
        <w:rPr>
          <w:rFonts w:cs="Times New Roman"/>
          <w:sz w:val="24"/>
          <w:szCs w:val="24"/>
        </w:rPr>
        <w:t xml:space="preserve">Collaborate with team leaders to clarify </w:t>
      </w:r>
      <w:r w:rsidR="005264A1" w:rsidRPr="00701B06">
        <w:rPr>
          <w:rFonts w:cs="Times New Roman"/>
          <w:sz w:val="24"/>
          <w:szCs w:val="24"/>
        </w:rPr>
        <w:t>the RACI roles, i.e., accountable, responsible, consulted, and informed,</w:t>
      </w:r>
      <w:r w:rsidRPr="00701B06">
        <w:rPr>
          <w:rFonts w:cs="Times New Roman"/>
          <w:sz w:val="24"/>
          <w:szCs w:val="24"/>
        </w:rPr>
        <w:t xml:space="preserve"> for each activity.</w:t>
      </w:r>
    </w:p>
    <w:p w14:paraId="60689481" w14:textId="241A1336" w:rsidR="005172C4" w:rsidRPr="00701B06" w:rsidRDefault="005172C4" w:rsidP="0051044E">
      <w:pPr>
        <w:pStyle w:val="ListParagraph"/>
        <w:numPr>
          <w:ilvl w:val="0"/>
          <w:numId w:val="50"/>
        </w:numPr>
        <w:spacing w:after="0" w:line="240" w:lineRule="auto"/>
        <w:contextualSpacing w:val="0"/>
        <w:rPr>
          <w:rFonts w:cs="Times New Roman"/>
          <w:sz w:val="24"/>
          <w:szCs w:val="24"/>
        </w:rPr>
      </w:pPr>
      <w:r w:rsidRPr="00701B06">
        <w:rPr>
          <w:rFonts w:cs="Times New Roman"/>
          <w:sz w:val="24"/>
          <w:szCs w:val="24"/>
        </w:rPr>
        <w:t xml:space="preserve">Review and adjust </w:t>
      </w:r>
      <w:r w:rsidR="005264A1" w:rsidRPr="00701B06">
        <w:rPr>
          <w:rFonts w:cs="Times New Roman"/>
          <w:sz w:val="24"/>
          <w:szCs w:val="24"/>
        </w:rPr>
        <w:t xml:space="preserve">the </w:t>
      </w:r>
      <w:r w:rsidRPr="00701B06">
        <w:rPr>
          <w:rFonts w:cs="Times New Roman"/>
          <w:sz w:val="24"/>
          <w:szCs w:val="24"/>
        </w:rPr>
        <w:t>initial RACI assignments to ensure alignment with project-specific objectives and requirements.</w:t>
      </w:r>
    </w:p>
    <w:p w14:paraId="271612EC" w14:textId="26AF691B" w:rsidR="005172C4" w:rsidRPr="00701B06" w:rsidRDefault="005172C4" w:rsidP="0051044E">
      <w:pPr>
        <w:pStyle w:val="ListParagraph"/>
        <w:numPr>
          <w:ilvl w:val="0"/>
          <w:numId w:val="50"/>
        </w:numPr>
        <w:spacing w:after="0" w:line="240" w:lineRule="auto"/>
        <w:contextualSpacing w:val="0"/>
        <w:rPr>
          <w:rFonts w:cs="Times New Roman"/>
          <w:sz w:val="24"/>
          <w:szCs w:val="24"/>
        </w:rPr>
      </w:pPr>
      <w:r w:rsidRPr="00701B06">
        <w:rPr>
          <w:rFonts w:cs="Times New Roman"/>
          <w:sz w:val="24"/>
          <w:szCs w:val="24"/>
        </w:rPr>
        <w:t xml:space="preserve">Use the RACI </w:t>
      </w:r>
      <w:bookmarkStart w:id="0" w:name="_Hlk192069002"/>
      <w:r w:rsidR="005264A1" w:rsidRPr="00701B06">
        <w:rPr>
          <w:rFonts w:cs="Times New Roman"/>
          <w:sz w:val="24"/>
          <w:szCs w:val="24"/>
        </w:rPr>
        <w:t>responsibilit</w:t>
      </w:r>
      <w:bookmarkEnd w:id="0"/>
      <w:r w:rsidR="005264A1" w:rsidRPr="00701B06">
        <w:rPr>
          <w:rFonts w:cs="Times New Roman"/>
          <w:sz w:val="24"/>
          <w:szCs w:val="24"/>
        </w:rPr>
        <w:t xml:space="preserve">y </w:t>
      </w:r>
      <w:r w:rsidRPr="00701B06">
        <w:rPr>
          <w:rFonts w:cs="Times New Roman"/>
          <w:sz w:val="24"/>
          <w:szCs w:val="24"/>
        </w:rPr>
        <w:t>matrix as a foundational tool in project kickoff meetings to establish clear responsibilities​.</w:t>
      </w:r>
    </w:p>
    <w:p w14:paraId="6371F129" w14:textId="7513805A" w:rsidR="005172C4" w:rsidRPr="00701B06" w:rsidRDefault="005172C4" w:rsidP="0051044E">
      <w:pPr>
        <w:pStyle w:val="ListParagraph"/>
        <w:numPr>
          <w:ilvl w:val="0"/>
          <w:numId w:val="50"/>
        </w:numPr>
        <w:spacing w:after="0" w:line="240" w:lineRule="auto"/>
        <w:contextualSpacing w:val="0"/>
        <w:rPr>
          <w:rFonts w:cs="Times New Roman"/>
          <w:sz w:val="24"/>
          <w:szCs w:val="24"/>
        </w:rPr>
      </w:pPr>
      <w:r w:rsidRPr="00701B06">
        <w:rPr>
          <w:rFonts w:cs="Times New Roman"/>
          <w:sz w:val="24"/>
          <w:szCs w:val="24"/>
        </w:rPr>
        <w:t xml:space="preserve">Periodically audit the RACI </w:t>
      </w:r>
      <w:r w:rsidR="005264A1" w:rsidRPr="00701B06">
        <w:rPr>
          <w:rFonts w:cs="Times New Roman"/>
          <w:sz w:val="24"/>
          <w:szCs w:val="24"/>
        </w:rPr>
        <w:t xml:space="preserve">responsibility matrix </w:t>
      </w:r>
      <w:r w:rsidRPr="00701B06">
        <w:rPr>
          <w:rFonts w:cs="Times New Roman"/>
          <w:sz w:val="24"/>
          <w:szCs w:val="24"/>
        </w:rPr>
        <w:t xml:space="preserve">to address any role ambiguity and </w:t>
      </w:r>
      <w:r w:rsidR="005264A1" w:rsidRPr="00701B06">
        <w:rPr>
          <w:rFonts w:cs="Times New Roman"/>
          <w:sz w:val="24"/>
          <w:szCs w:val="24"/>
        </w:rPr>
        <w:t xml:space="preserve">to </w:t>
      </w:r>
      <w:r w:rsidRPr="00701B06">
        <w:rPr>
          <w:rFonts w:cs="Times New Roman"/>
          <w:sz w:val="24"/>
          <w:szCs w:val="24"/>
        </w:rPr>
        <w:t>adapt to project changes​.</w:t>
      </w:r>
    </w:p>
    <w:p w14:paraId="777504CB" w14:textId="77777777" w:rsidR="005264A1" w:rsidRPr="00701B06" w:rsidRDefault="005264A1" w:rsidP="0051044E">
      <w:pPr>
        <w:pStyle w:val="ListParagraph"/>
        <w:spacing w:after="0" w:line="240" w:lineRule="auto"/>
        <w:contextualSpacing w:val="0"/>
        <w:rPr>
          <w:rFonts w:cs="Times New Roman"/>
          <w:sz w:val="24"/>
          <w:szCs w:val="24"/>
        </w:rPr>
      </w:pPr>
    </w:p>
    <w:p w14:paraId="35A0F20C" w14:textId="12A858B2" w:rsidR="005264A1" w:rsidRPr="00701B06" w:rsidRDefault="005264A1" w:rsidP="0051044E">
      <w:pPr>
        <w:pStyle w:val="Heading2"/>
        <w:spacing w:before="0" w:after="0" w:line="240" w:lineRule="auto"/>
        <w:rPr>
          <w:color w:val="auto"/>
        </w:rPr>
      </w:pPr>
      <w:r w:rsidRPr="00701B06">
        <w:rPr>
          <w:color w:val="auto"/>
        </w:rPr>
        <w:t>(6) I</w:t>
      </w:r>
      <w:r w:rsidR="00927E5D" w:rsidRPr="00701B06">
        <w:rPr>
          <w:color w:val="auto"/>
        </w:rPr>
        <w:t xml:space="preserve">dentify hot spots to highlight CCSU transition challenges, including unclear responsibilities, recurring issues, and unmet expectations in key activities. </w:t>
      </w:r>
    </w:p>
    <w:p w14:paraId="12EF6D2D" w14:textId="46E40BAE" w:rsidR="00CB4D3D" w:rsidRPr="00701B06" w:rsidRDefault="00CB4D3D" w:rsidP="0051044E">
      <w:pPr>
        <w:pStyle w:val="Heading2"/>
        <w:spacing w:before="0" w:after="0" w:line="240" w:lineRule="auto"/>
        <w:ind w:left="360"/>
        <w:rPr>
          <w:color w:val="auto"/>
        </w:rPr>
      </w:pPr>
      <w:r w:rsidRPr="00701B06">
        <w:rPr>
          <w:color w:val="auto"/>
        </w:rPr>
        <w:t>(Project Phase:</w:t>
      </w:r>
      <w:r w:rsidR="004875CC" w:rsidRPr="00701B06">
        <w:rPr>
          <w:color w:val="auto"/>
        </w:rPr>
        <w:t xml:space="preserve"> Commissioning and Start-Up through Turnover</w:t>
      </w:r>
      <w:r w:rsidRPr="00701B06">
        <w:rPr>
          <w:color w:val="auto"/>
        </w:rPr>
        <w:t>)</w:t>
      </w:r>
    </w:p>
    <w:p w14:paraId="5AD52F18" w14:textId="22BB2108" w:rsidR="00770834" w:rsidRPr="00701B06" w:rsidRDefault="00770834" w:rsidP="0051044E">
      <w:pPr>
        <w:pStyle w:val="ListParagraph"/>
        <w:numPr>
          <w:ilvl w:val="0"/>
          <w:numId w:val="51"/>
        </w:numPr>
        <w:spacing w:after="0" w:line="240" w:lineRule="auto"/>
        <w:contextualSpacing w:val="0"/>
        <w:rPr>
          <w:rFonts w:cs="Times New Roman"/>
          <w:sz w:val="24"/>
          <w:szCs w:val="24"/>
        </w:rPr>
      </w:pPr>
      <w:r w:rsidRPr="00701B06">
        <w:rPr>
          <w:rFonts w:cs="Times New Roman"/>
          <w:sz w:val="24"/>
          <w:szCs w:val="24"/>
        </w:rPr>
        <w:t>Review key activities to spot recurring issues that delay phase transitions and increase project costs​.</w:t>
      </w:r>
    </w:p>
    <w:p w14:paraId="3F7CA2C8" w14:textId="19682AE4" w:rsidR="00770834" w:rsidRPr="00701B06" w:rsidRDefault="00770834" w:rsidP="0051044E">
      <w:pPr>
        <w:pStyle w:val="ListParagraph"/>
        <w:numPr>
          <w:ilvl w:val="0"/>
          <w:numId w:val="51"/>
        </w:numPr>
        <w:spacing w:after="0" w:line="240" w:lineRule="auto"/>
        <w:contextualSpacing w:val="0"/>
        <w:rPr>
          <w:rFonts w:cs="Times New Roman"/>
          <w:sz w:val="24"/>
          <w:szCs w:val="24"/>
        </w:rPr>
      </w:pPr>
      <w:r w:rsidRPr="00701B06">
        <w:rPr>
          <w:rFonts w:cs="Times New Roman"/>
          <w:sz w:val="24"/>
          <w:szCs w:val="24"/>
        </w:rPr>
        <w:t>Analyze past projects for unmet expectations and poorly defined responsibilities to enhance current planning​.</w:t>
      </w:r>
    </w:p>
    <w:p w14:paraId="2B7D9E30" w14:textId="772F02C7" w:rsidR="00770834" w:rsidRPr="00701B06" w:rsidRDefault="00770834" w:rsidP="0051044E">
      <w:pPr>
        <w:pStyle w:val="ListParagraph"/>
        <w:numPr>
          <w:ilvl w:val="0"/>
          <w:numId w:val="51"/>
        </w:numPr>
        <w:spacing w:after="0" w:line="240" w:lineRule="auto"/>
        <w:contextualSpacing w:val="0"/>
        <w:rPr>
          <w:rFonts w:cs="Times New Roman"/>
          <w:sz w:val="24"/>
          <w:szCs w:val="24"/>
        </w:rPr>
      </w:pPr>
      <w:r w:rsidRPr="00701B06">
        <w:rPr>
          <w:rFonts w:cs="Times New Roman"/>
          <w:sz w:val="24"/>
          <w:szCs w:val="24"/>
        </w:rPr>
        <w:t>Identify ambiguities in role assignments and clarify them to prevent responsibility overlaps or gaps​.</w:t>
      </w:r>
    </w:p>
    <w:p w14:paraId="0D2A4E83" w14:textId="3FD902F6" w:rsidR="00770834" w:rsidRPr="00701B06" w:rsidRDefault="00770834" w:rsidP="0051044E">
      <w:pPr>
        <w:pStyle w:val="ListParagraph"/>
        <w:numPr>
          <w:ilvl w:val="0"/>
          <w:numId w:val="51"/>
        </w:numPr>
        <w:spacing w:after="0" w:line="240" w:lineRule="auto"/>
        <w:contextualSpacing w:val="0"/>
        <w:rPr>
          <w:rFonts w:cs="Times New Roman"/>
          <w:sz w:val="24"/>
          <w:szCs w:val="24"/>
        </w:rPr>
      </w:pPr>
      <w:r w:rsidRPr="00701B06">
        <w:rPr>
          <w:rFonts w:cs="Times New Roman"/>
          <w:sz w:val="24"/>
          <w:szCs w:val="24"/>
        </w:rPr>
        <w:t>Flag high-risk activities in the CCSU process that commonly result in delays, cost increases, or safety risks​</w:t>
      </w:r>
      <w:r w:rsidR="00174B62" w:rsidRPr="00701B06">
        <w:rPr>
          <w:rFonts w:cs="Times New Roman"/>
          <w:sz w:val="24"/>
          <w:szCs w:val="24"/>
        </w:rPr>
        <w:t>.</w:t>
      </w:r>
    </w:p>
    <w:p w14:paraId="1CCC64B5" w14:textId="570FC293" w:rsidR="00770834" w:rsidRPr="00701B06" w:rsidRDefault="00770834" w:rsidP="0051044E">
      <w:pPr>
        <w:pStyle w:val="ListParagraph"/>
        <w:numPr>
          <w:ilvl w:val="0"/>
          <w:numId w:val="51"/>
        </w:numPr>
        <w:spacing w:after="0" w:line="240" w:lineRule="auto"/>
        <w:contextualSpacing w:val="0"/>
        <w:rPr>
          <w:rFonts w:cs="Times New Roman"/>
          <w:sz w:val="24"/>
          <w:szCs w:val="24"/>
        </w:rPr>
      </w:pPr>
      <w:r w:rsidRPr="00701B06">
        <w:rPr>
          <w:rFonts w:cs="Times New Roman"/>
          <w:sz w:val="24"/>
          <w:szCs w:val="24"/>
        </w:rPr>
        <w:t>Develop targeted mitigation strategies for each hot spot based on identified causal factors​​</w:t>
      </w:r>
      <w:r w:rsidR="005264A1" w:rsidRPr="00701B06">
        <w:rPr>
          <w:rFonts w:cs="Times New Roman"/>
          <w:sz w:val="24"/>
          <w:szCs w:val="24"/>
        </w:rPr>
        <w:t>.</w:t>
      </w:r>
    </w:p>
    <w:p w14:paraId="248B797E" w14:textId="77777777" w:rsidR="005264A1" w:rsidRPr="00701B06" w:rsidRDefault="005264A1" w:rsidP="0051044E">
      <w:pPr>
        <w:pStyle w:val="ListParagraph"/>
        <w:spacing w:after="0" w:line="240" w:lineRule="auto"/>
        <w:contextualSpacing w:val="0"/>
        <w:rPr>
          <w:rFonts w:cs="Times New Roman"/>
          <w:sz w:val="24"/>
          <w:szCs w:val="24"/>
        </w:rPr>
      </w:pPr>
    </w:p>
    <w:p w14:paraId="716B7496" w14:textId="238D6C9C" w:rsidR="005264A1" w:rsidRPr="00701B06" w:rsidRDefault="005264A1" w:rsidP="0051044E">
      <w:pPr>
        <w:pStyle w:val="Heading2"/>
        <w:spacing w:before="0" w:after="0" w:line="240" w:lineRule="auto"/>
        <w:rPr>
          <w:color w:val="auto"/>
        </w:rPr>
      </w:pPr>
      <w:r w:rsidRPr="00701B06">
        <w:rPr>
          <w:color w:val="auto"/>
        </w:rPr>
        <w:t>(7) H</w:t>
      </w:r>
      <w:r w:rsidR="00ED5D03" w:rsidRPr="00701B06">
        <w:rPr>
          <w:color w:val="auto"/>
        </w:rPr>
        <w:t xml:space="preserve">ighlight 20 CCSU hot spots identified by 49 managers, with 75% in the </w:t>
      </w:r>
      <w:r w:rsidR="002C7564" w:rsidRPr="00701B06">
        <w:rPr>
          <w:color w:val="auto"/>
        </w:rPr>
        <w:t>c</w:t>
      </w:r>
      <w:r w:rsidR="00ED5D03" w:rsidRPr="00701B06">
        <w:rPr>
          <w:color w:val="auto"/>
        </w:rPr>
        <w:t xml:space="preserve">onstruction phase, underscoring the need for increased project team oversight. </w:t>
      </w:r>
    </w:p>
    <w:p w14:paraId="5B433F64" w14:textId="1B679FD5" w:rsidR="00CB4D3D" w:rsidRPr="00701B06" w:rsidRDefault="00CB4D3D" w:rsidP="0051044E">
      <w:pPr>
        <w:pStyle w:val="Heading2"/>
        <w:spacing w:before="0" w:after="0" w:line="240" w:lineRule="auto"/>
        <w:ind w:left="360"/>
        <w:rPr>
          <w:color w:val="auto"/>
        </w:rPr>
      </w:pPr>
      <w:r w:rsidRPr="00701B06">
        <w:rPr>
          <w:color w:val="auto"/>
        </w:rPr>
        <w:t>(Project Phase:</w:t>
      </w:r>
      <w:r w:rsidR="00425510" w:rsidRPr="00701B06">
        <w:rPr>
          <w:color w:val="auto"/>
        </w:rPr>
        <w:t xml:space="preserve"> </w:t>
      </w:r>
      <w:r w:rsidR="004875CC" w:rsidRPr="00701B06">
        <w:rPr>
          <w:color w:val="auto"/>
        </w:rPr>
        <w:t>Commissioning and Start-Up through Turnover</w:t>
      </w:r>
      <w:r w:rsidRPr="00701B06">
        <w:rPr>
          <w:color w:val="auto"/>
        </w:rPr>
        <w:t>)</w:t>
      </w:r>
    </w:p>
    <w:p w14:paraId="7F635569" w14:textId="0455C953" w:rsidR="000B2A28" w:rsidRPr="00701B06" w:rsidRDefault="000B2A28" w:rsidP="0051044E">
      <w:pPr>
        <w:pStyle w:val="ListParagraph"/>
        <w:numPr>
          <w:ilvl w:val="0"/>
          <w:numId w:val="52"/>
        </w:numPr>
        <w:spacing w:after="0" w:line="240" w:lineRule="auto"/>
        <w:contextualSpacing w:val="0"/>
        <w:rPr>
          <w:rFonts w:cs="Times New Roman"/>
          <w:sz w:val="24"/>
          <w:szCs w:val="24"/>
        </w:rPr>
      </w:pPr>
      <w:r w:rsidRPr="00701B06">
        <w:rPr>
          <w:rFonts w:cs="Times New Roman"/>
          <w:sz w:val="24"/>
          <w:szCs w:val="24"/>
        </w:rPr>
        <w:t xml:space="preserve">Focus project team oversight on the </w:t>
      </w:r>
      <w:r w:rsidR="005264A1" w:rsidRPr="00701B06">
        <w:rPr>
          <w:rFonts w:cs="Times New Roman"/>
          <w:sz w:val="24"/>
          <w:szCs w:val="24"/>
        </w:rPr>
        <w:t>c</w:t>
      </w:r>
      <w:r w:rsidRPr="00701B06">
        <w:rPr>
          <w:rFonts w:cs="Times New Roman"/>
          <w:sz w:val="24"/>
          <w:szCs w:val="24"/>
        </w:rPr>
        <w:t xml:space="preserve">onstruction phase to address the 75% of hot spots </w:t>
      </w:r>
      <w:r w:rsidR="002C7564" w:rsidRPr="00701B06">
        <w:rPr>
          <w:rFonts w:cs="Times New Roman"/>
          <w:sz w:val="24"/>
          <w:szCs w:val="24"/>
        </w:rPr>
        <w:t xml:space="preserve">that managers </w:t>
      </w:r>
      <w:r w:rsidRPr="00701B06">
        <w:rPr>
          <w:rFonts w:cs="Times New Roman"/>
          <w:sz w:val="24"/>
          <w:szCs w:val="24"/>
        </w:rPr>
        <w:t xml:space="preserve">identified </w:t>
      </w:r>
      <w:r w:rsidR="005264A1" w:rsidRPr="00701B06">
        <w:rPr>
          <w:rFonts w:cs="Times New Roman"/>
          <w:sz w:val="24"/>
          <w:szCs w:val="24"/>
        </w:rPr>
        <w:t>in that phase</w:t>
      </w:r>
      <w:r w:rsidRPr="00701B06">
        <w:rPr>
          <w:rFonts w:cs="Times New Roman"/>
          <w:sz w:val="24"/>
          <w:szCs w:val="24"/>
        </w:rPr>
        <w:t>.</w:t>
      </w:r>
    </w:p>
    <w:p w14:paraId="20D09063" w14:textId="30D828E4" w:rsidR="000B2A28" w:rsidRPr="00701B06" w:rsidRDefault="000B2A28" w:rsidP="0051044E">
      <w:pPr>
        <w:pStyle w:val="ListParagraph"/>
        <w:numPr>
          <w:ilvl w:val="0"/>
          <w:numId w:val="52"/>
        </w:numPr>
        <w:spacing w:after="0" w:line="240" w:lineRule="auto"/>
        <w:contextualSpacing w:val="0"/>
        <w:rPr>
          <w:rFonts w:cs="Times New Roman"/>
          <w:sz w:val="24"/>
          <w:szCs w:val="24"/>
        </w:rPr>
      </w:pPr>
      <w:r w:rsidRPr="00701B06">
        <w:rPr>
          <w:rFonts w:cs="Times New Roman"/>
          <w:sz w:val="24"/>
          <w:szCs w:val="24"/>
        </w:rPr>
        <w:t>Prioritize high-risk activities flagged as hot spots to minimize delays and control project costs​.</w:t>
      </w:r>
    </w:p>
    <w:p w14:paraId="7C3FE786" w14:textId="005EBD10" w:rsidR="000B2A28" w:rsidRPr="00701B06" w:rsidRDefault="000B2A28" w:rsidP="0051044E">
      <w:pPr>
        <w:pStyle w:val="ListParagraph"/>
        <w:numPr>
          <w:ilvl w:val="0"/>
          <w:numId w:val="52"/>
        </w:numPr>
        <w:spacing w:after="0" w:line="240" w:lineRule="auto"/>
        <w:contextualSpacing w:val="0"/>
        <w:rPr>
          <w:rFonts w:cs="Times New Roman"/>
          <w:sz w:val="24"/>
          <w:szCs w:val="24"/>
        </w:rPr>
      </w:pPr>
      <w:r w:rsidRPr="00701B06">
        <w:rPr>
          <w:rFonts w:cs="Times New Roman"/>
          <w:sz w:val="24"/>
          <w:szCs w:val="24"/>
        </w:rPr>
        <w:t xml:space="preserve">Clarify roles and responsibilities </w:t>
      </w:r>
      <w:r w:rsidR="005264A1" w:rsidRPr="00701B06">
        <w:rPr>
          <w:rFonts w:cs="Times New Roman"/>
          <w:sz w:val="24"/>
          <w:szCs w:val="24"/>
        </w:rPr>
        <w:t xml:space="preserve">to address </w:t>
      </w:r>
      <w:r w:rsidRPr="00701B06">
        <w:rPr>
          <w:rFonts w:cs="Times New Roman"/>
          <w:sz w:val="24"/>
          <w:szCs w:val="24"/>
        </w:rPr>
        <w:t xml:space="preserve">each hot spot </w:t>
      </w:r>
      <w:r w:rsidR="002C7564" w:rsidRPr="00701B06">
        <w:rPr>
          <w:rFonts w:cs="Times New Roman"/>
          <w:sz w:val="24"/>
          <w:szCs w:val="24"/>
        </w:rPr>
        <w:t>and thus</w:t>
      </w:r>
      <w:r w:rsidRPr="00701B06">
        <w:rPr>
          <w:rFonts w:cs="Times New Roman"/>
          <w:sz w:val="24"/>
          <w:szCs w:val="24"/>
        </w:rPr>
        <w:t xml:space="preserve"> reduce ambiguity and enhance accountability.</w:t>
      </w:r>
    </w:p>
    <w:p w14:paraId="3AA1FD69" w14:textId="02C2373E" w:rsidR="000B2A28" w:rsidRPr="00701B06" w:rsidRDefault="000B2A28" w:rsidP="0051044E">
      <w:pPr>
        <w:pStyle w:val="ListParagraph"/>
        <w:numPr>
          <w:ilvl w:val="0"/>
          <w:numId w:val="52"/>
        </w:numPr>
        <w:spacing w:after="0" w:line="240" w:lineRule="auto"/>
        <w:contextualSpacing w:val="0"/>
        <w:rPr>
          <w:rFonts w:cs="Times New Roman"/>
          <w:sz w:val="24"/>
          <w:szCs w:val="24"/>
        </w:rPr>
      </w:pPr>
      <w:r w:rsidRPr="00701B06">
        <w:rPr>
          <w:rFonts w:cs="Times New Roman"/>
          <w:sz w:val="24"/>
          <w:szCs w:val="24"/>
        </w:rPr>
        <w:t>Implement regular audits of hot spots to ensure</w:t>
      </w:r>
      <w:r w:rsidR="005264A1" w:rsidRPr="00701B06">
        <w:rPr>
          <w:rFonts w:cs="Times New Roman"/>
          <w:sz w:val="24"/>
          <w:szCs w:val="24"/>
        </w:rPr>
        <w:t xml:space="preserve"> that</w:t>
      </w:r>
      <w:r w:rsidRPr="00701B06">
        <w:rPr>
          <w:rFonts w:cs="Times New Roman"/>
          <w:sz w:val="24"/>
          <w:szCs w:val="24"/>
        </w:rPr>
        <w:t xml:space="preserve"> issues are promptly addressed during </w:t>
      </w:r>
      <w:r w:rsidR="005264A1" w:rsidRPr="00701B06">
        <w:rPr>
          <w:rFonts w:cs="Times New Roman"/>
          <w:sz w:val="24"/>
          <w:szCs w:val="24"/>
        </w:rPr>
        <w:t>the c</w:t>
      </w:r>
      <w:r w:rsidRPr="00701B06">
        <w:rPr>
          <w:rFonts w:cs="Times New Roman"/>
          <w:sz w:val="24"/>
          <w:szCs w:val="24"/>
        </w:rPr>
        <w:t>onstruction</w:t>
      </w:r>
      <w:r w:rsidR="005264A1" w:rsidRPr="00701B06">
        <w:rPr>
          <w:rFonts w:cs="Times New Roman"/>
          <w:sz w:val="24"/>
          <w:szCs w:val="24"/>
        </w:rPr>
        <w:t xml:space="preserve"> phase</w:t>
      </w:r>
      <w:r w:rsidRPr="00701B06">
        <w:rPr>
          <w:rFonts w:cs="Times New Roman"/>
          <w:sz w:val="24"/>
          <w:szCs w:val="24"/>
        </w:rPr>
        <w:t>​​.</w:t>
      </w:r>
    </w:p>
    <w:p w14:paraId="7E56A584" w14:textId="44D9B9B4" w:rsidR="000B2A28" w:rsidRPr="00701B06" w:rsidRDefault="000B2A28" w:rsidP="0051044E">
      <w:pPr>
        <w:pStyle w:val="ListParagraph"/>
        <w:numPr>
          <w:ilvl w:val="0"/>
          <w:numId w:val="52"/>
        </w:numPr>
        <w:spacing w:after="0" w:line="240" w:lineRule="auto"/>
        <w:contextualSpacing w:val="0"/>
        <w:rPr>
          <w:rFonts w:cs="Times New Roman"/>
          <w:sz w:val="24"/>
          <w:szCs w:val="24"/>
        </w:rPr>
      </w:pPr>
      <w:r w:rsidRPr="00701B06">
        <w:rPr>
          <w:rFonts w:cs="Times New Roman"/>
          <w:sz w:val="24"/>
          <w:szCs w:val="24"/>
        </w:rPr>
        <w:t>Use insights from the 49 managers to refine strategies for preventing recurring issues across projects​​.</w:t>
      </w:r>
    </w:p>
    <w:p w14:paraId="4C1B4392" w14:textId="77777777" w:rsidR="005264A1" w:rsidRPr="00701B06" w:rsidRDefault="005264A1" w:rsidP="0051044E">
      <w:pPr>
        <w:pStyle w:val="ListParagraph"/>
        <w:spacing w:after="0" w:line="240" w:lineRule="auto"/>
        <w:contextualSpacing w:val="0"/>
        <w:rPr>
          <w:rFonts w:cs="Times New Roman"/>
          <w:sz w:val="24"/>
          <w:szCs w:val="24"/>
        </w:rPr>
      </w:pPr>
    </w:p>
    <w:p w14:paraId="7AA56858" w14:textId="2EA44C7D" w:rsidR="005264A1" w:rsidRPr="00701B06" w:rsidRDefault="005264A1" w:rsidP="0051044E">
      <w:pPr>
        <w:pStyle w:val="Heading2"/>
        <w:spacing w:before="0" w:after="0" w:line="240" w:lineRule="auto"/>
        <w:rPr>
          <w:color w:val="auto"/>
        </w:rPr>
      </w:pPr>
      <w:r w:rsidRPr="00701B06">
        <w:rPr>
          <w:color w:val="auto"/>
        </w:rPr>
        <w:lastRenderedPageBreak/>
        <w:t>(8) C</w:t>
      </w:r>
      <w:r w:rsidR="00C211DE" w:rsidRPr="00701B06">
        <w:rPr>
          <w:color w:val="auto"/>
        </w:rPr>
        <w:t xml:space="preserve">haracterize each of the 20 hot spots across 10 fields, </w:t>
      </w:r>
      <w:r w:rsidRPr="00701B06">
        <w:rPr>
          <w:color w:val="auto"/>
        </w:rPr>
        <w:t xml:space="preserve">and </w:t>
      </w:r>
      <w:r w:rsidR="00C211DE" w:rsidRPr="00701B06">
        <w:rPr>
          <w:color w:val="auto"/>
        </w:rPr>
        <w:t>includ</w:t>
      </w:r>
      <w:r w:rsidRPr="00701B06">
        <w:rPr>
          <w:color w:val="auto"/>
        </w:rPr>
        <w:t>e the</w:t>
      </w:r>
      <w:r w:rsidR="00C211DE" w:rsidRPr="00701B06">
        <w:rPr>
          <w:color w:val="auto"/>
        </w:rPr>
        <w:t xml:space="preserve"> impacts, causes, and mitigation strategies supported by trend analysis</w:t>
      </w:r>
      <w:r w:rsidR="002C7564" w:rsidRPr="00701B06">
        <w:rPr>
          <w:color w:val="auto"/>
        </w:rPr>
        <w:t xml:space="preserve"> results</w:t>
      </w:r>
      <w:r w:rsidR="00C211DE" w:rsidRPr="00701B06">
        <w:rPr>
          <w:color w:val="auto"/>
        </w:rPr>
        <w:t xml:space="preserve">. </w:t>
      </w:r>
    </w:p>
    <w:p w14:paraId="354AFD61" w14:textId="2873B9A3" w:rsidR="00CB4D3D" w:rsidRPr="00701B06" w:rsidRDefault="00CB4D3D" w:rsidP="0051044E">
      <w:pPr>
        <w:pStyle w:val="Heading2"/>
        <w:spacing w:before="0" w:after="0" w:line="240" w:lineRule="auto"/>
        <w:ind w:left="360"/>
        <w:rPr>
          <w:color w:val="auto"/>
        </w:rPr>
      </w:pPr>
      <w:r w:rsidRPr="00701B06">
        <w:rPr>
          <w:color w:val="auto"/>
        </w:rPr>
        <w:t>(Project Phase:</w:t>
      </w:r>
      <w:r w:rsidR="004875CC" w:rsidRPr="00701B06">
        <w:rPr>
          <w:color w:val="auto"/>
        </w:rPr>
        <w:t xml:space="preserve"> Commissioning and Start-Up through Turnover</w:t>
      </w:r>
      <w:r w:rsidRPr="00701B06">
        <w:rPr>
          <w:color w:val="auto"/>
        </w:rPr>
        <w:t>)</w:t>
      </w:r>
    </w:p>
    <w:p w14:paraId="7641E430" w14:textId="2D64F88B" w:rsidR="00032433" w:rsidRPr="00701B06" w:rsidRDefault="00032433" w:rsidP="0051044E">
      <w:pPr>
        <w:pStyle w:val="ListParagraph"/>
        <w:numPr>
          <w:ilvl w:val="0"/>
          <w:numId w:val="53"/>
        </w:numPr>
        <w:spacing w:after="0" w:line="240" w:lineRule="auto"/>
        <w:contextualSpacing w:val="0"/>
        <w:rPr>
          <w:rFonts w:cs="Times New Roman"/>
          <w:sz w:val="24"/>
          <w:szCs w:val="24"/>
        </w:rPr>
      </w:pPr>
      <w:r w:rsidRPr="00701B06">
        <w:rPr>
          <w:rFonts w:cs="Times New Roman"/>
          <w:sz w:val="24"/>
          <w:szCs w:val="24"/>
        </w:rPr>
        <w:t>Document qualitative impacts, such as schedule delays and cost increases, for each hot spot to identify recurring project challenges.</w:t>
      </w:r>
    </w:p>
    <w:p w14:paraId="58DBE9FD" w14:textId="425F31BA" w:rsidR="00032433" w:rsidRPr="00701B06" w:rsidRDefault="00032433" w:rsidP="0051044E">
      <w:pPr>
        <w:pStyle w:val="ListParagraph"/>
        <w:numPr>
          <w:ilvl w:val="0"/>
          <w:numId w:val="53"/>
        </w:numPr>
        <w:spacing w:after="0" w:line="240" w:lineRule="auto"/>
        <w:contextualSpacing w:val="0"/>
        <w:rPr>
          <w:rFonts w:cs="Times New Roman"/>
          <w:sz w:val="24"/>
          <w:szCs w:val="24"/>
        </w:rPr>
      </w:pPr>
      <w:r w:rsidRPr="00701B06">
        <w:rPr>
          <w:rFonts w:cs="Times New Roman"/>
          <w:sz w:val="24"/>
          <w:szCs w:val="24"/>
        </w:rPr>
        <w:t>Identify causal factors</w:t>
      </w:r>
      <w:r w:rsidR="002C7564" w:rsidRPr="00701B06">
        <w:rPr>
          <w:rFonts w:cs="Times New Roman"/>
          <w:sz w:val="24"/>
          <w:szCs w:val="24"/>
        </w:rPr>
        <w:t>,</w:t>
      </w:r>
      <w:r w:rsidRPr="00701B06">
        <w:rPr>
          <w:rFonts w:cs="Times New Roman"/>
          <w:sz w:val="24"/>
          <w:szCs w:val="24"/>
        </w:rPr>
        <w:t xml:space="preserve"> </w:t>
      </w:r>
      <w:r w:rsidR="00AF1062" w:rsidRPr="00701B06">
        <w:rPr>
          <w:rFonts w:cs="Times New Roman"/>
          <w:sz w:val="24"/>
          <w:szCs w:val="24"/>
        </w:rPr>
        <w:t>such as</w:t>
      </w:r>
      <w:r w:rsidRPr="00701B06">
        <w:rPr>
          <w:rFonts w:cs="Times New Roman"/>
          <w:sz w:val="24"/>
          <w:szCs w:val="24"/>
        </w:rPr>
        <w:t xml:space="preserve"> role ambiguit</w:t>
      </w:r>
      <w:r w:rsidR="00AF1062" w:rsidRPr="00701B06">
        <w:rPr>
          <w:rFonts w:cs="Times New Roman"/>
          <w:sz w:val="24"/>
          <w:szCs w:val="24"/>
        </w:rPr>
        <w:t>y</w:t>
      </w:r>
      <w:r w:rsidRPr="00701B06">
        <w:rPr>
          <w:rFonts w:cs="Times New Roman"/>
          <w:sz w:val="24"/>
          <w:szCs w:val="24"/>
        </w:rPr>
        <w:t xml:space="preserve"> and staffing issues</w:t>
      </w:r>
      <w:r w:rsidR="002C7564" w:rsidRPr="00701B06">
        <w:rPr>
          <w:rFonts w:cs="Times New Roman"/>
          <w:sz w:val="24"/>
          <w:szCs w:val="24"/>
        </w:rPr>
        <w:t>,</w:t>
      </w:r>
      <w:r w:rsidRPr="00701B06">
        <w:rPr>
          <w:rFonts w:cs="Times New Roman"/>
          <w:sz w:val="24"/>
          <w:szCs w:val="24"/>
        </w:rPr>
        <w:t xml:space="preserve"> to address </w:t>
      </w:r>
      <w:r w:rsidR="00AF1062" w:rsidRPr="00701B06">
        <w:rPr>
          <w:rFonts w:cs="Times New Roman"/>
          <w:sz w:val="24"/>
          <w:szCs w:val="24"/>
        </w:rPr>
        <w:t xml:space="preserve">the </w:t>
      </w:r>
      <w:r w:rsidRPr="00701B06">
        <w:rPr>
          <w:rFonts w:cs="Times New Roman"/>
          <w:sz w:val="24"/>
          <w:szCs w:val="24"/>
        </w:rPr>
        <w:t>underlying reasons for recurring hot spots​.</w:t>
      </w:r>
    </w:p>
    <w:p w14:paraId="07AC8620" w14:textId="3B4EC806" w:rsidR="00032433" w:rsidRPr="00701B06" w:rsidRDefault="00032433" w:rsidP="0051044E">
      <w:pPr>
        <w:pStyle w:val="ListParagraph"/>
        <w:numPr>
          <w:ilvl w:val="0"/>
          <w:numId w:val="53"/>
        </w:numPr>
        <w:spacing w:after="0" w:line="240" w:lineRule="auto"/>
        <w:contextualSpacing w:val="0"/>
        <w:rPr>
          <w:rFonts w:cs="Times New Roman"/>
          <w:sz w:val="24"/>
          <w:szCs w:val="24"/>
        </w:rPr>
      </w:pPr>
      <w:r w:rsidRPr="00701B06">
        <w:rPr>
          <w:rFonts w:cs="Times New Roman"/>
          <w:sz w:val="24"/>
          <w:szCs w:val="24"/>
        </w:rPr>
        <w:t xml:space="preserve">Outline prevention and mitigation strategies </w:t>
      </w:r>
      <w:r w:rsidR="00AF1062" w:rsidRPr="00701B06">
        <w:rPr>
          <w:rFonts w:cs="Times New Roman"/>
          <w:sz w:val="24"/>
          <w:szCs w:val="24"/>
        </w:rPr>
        <w:t xml:space="preserve">that are </w:t>
      </w:r>
      <w:r w:rsidRPr="00701B06">
        <w:rPr>
          <w:rFonts w:cs="Times New Roman"/>
          <w:sz w:val="24"/>
          <w:szCs w:val="24"/>
        </w:rPr>
        <w:t>tailored to each hot spot to improve project continuity and reduce risks.</w:t>
      </w:r>
    </w:p>
    <w:p w14:paraId="00A22CBB" w14:textId="2C4A2A7E" w:rsidR="00032433" w:rsidRPr="00701B06" w:rsidRDefault="00032433" w:rsidP="0051044E">
      <w:pPr>
        <w:pStyle w:val="ListParagraph"/>
        <w:numPr>
          <w:ilvl w:val="0"/>
          <w:numId w:val="53"/>
        </w:numPr>
        <w:spacing w:after="0" w:line="240" w:lineRule="auto"/>
        <w:contextualSpacing w:val="0"/>
        <w:rPr>
          <w:rFonts w:cs="Times New Roman"/>
          <w:sz w:val="24"/>
          <w:szCs w:val="24"/>
        </w:rPr>
      </w:pPr>
      <w:r w:rsidRPr="00701B06">
        <w:rPr>
          <w:rFonts w:cs="Times New Roman"/>
          <w:sz w:val="24"/>
          <w:szCs w:val="24"/>
        </w:rPr>
        <w:t xml:space="preserve">Conduct trend analysis across hot spots to uncover patterns in </w:t>
      </w:r>
      <w:r w:rsidR="00AF1062" w:rsidRPr="00701B06">
        <w:rPr>
          <w:rFonts w:cs="Times New Roman"/>
          <w:sz w:val="24"/>
          <w:szCs w:val="24"/>
        </w:rPr>
        <w:t xml:space="preserve">the </w:t>
      </w:r>
      <w:r w:rsidRPr="00701B06">
        <w:rPr>
          <w:rFonts w:cs="Times New Roman"/>
          <w:sz w:val="24"/>
          <w:szCs w:val="24"/>
        </w:rPr>
        <w:t xml:space="preserve">challenges and </w:t>
      </w:r>
      <w:r w:rsidR="00AF1062" w:rsidRPr="00701B06">
        <w:rPr>
          <w:rFonts w:cs="Times New Roman"/>
          <w:sz w:val="24"/>
          <w:szCs w:val="24"/>
        </w:rPr>
        <w:t xml:space="preserve">to </w:t>
      </w:r>
      <w:r w:rsidRPr="00701B06">
        <w:rPr>
          <w:rFonts w:cs="Times New Roman"/>
          <w:sz w:val="24"/>
          <w:szCs w:val="24"/>
        </w:rPr>
        <w:t>develop standardized mitigation approaches​​.</w:t>
      </w:r>
    </w:p>
    <w:p w14:paraId="74B82696" w14:textId="408C69FC" w:rsidR="00032433" w:rsidRPr="00701B06" w:rsidRDefault="00032433" w:rsidP="0051044E">
      <w:pPr>
        <w:pStyle w:val="ListParagraph"/>
        <w:numPr>
          <w:ilvl w:val="0"/>
          <w:numId w:val="53"/>
        </w:numPr>
        <w:spacing w:after="0" w:line="240" w:lineRule="auto"/>
        <w:contextualSpacing w:val="0"/>
        <w:rPr>
          <w:rFonts w:cs="Times New Roman"/>
          <w:sz w:val="24"/>
          <w:szCs w:val="24"/>
        </w:rPr>
      </w:pPr>
      <w:r w:rsidRPr="00701B06">
        <w:rPr>
          <w:rFonts w:cs="Times New Roman"/>
          <w:sz w:val="24"/>
          <w:szCs w:val="24"/>
        </w:rPr>
        <w:t xml:space="preserve">Use these characterizations as a basis for informed decision-making and team discussions </w:t>
      </w:r>
      <w:r w:rsidR="002C7564" w:rsidRPr="00701B06">
        <w:rPr>
          <w:rFonts w:cs="Times New Roman"/>
          <w:sz w:val="24"/>
          <w:szCs w:val="24"/>
        </w:rPr>
        <w:t>about</w:t>
      </w:r>
      <w:r w:rsidRPr="00701B06">
        <w:rPr>
          <w:rFonts w:cs="Times New Roman"/>
          <w:sz w:val="24"/>
          <w:szCs w:val="24"/>
        </w:rPr>
        <w:t xml:space="preserve"> risk reduction and process improvement​​​.</w:t>
      </w:r>
    </w:p>
    <w:p w14:paraId="086824AF" w14:textId="77777777" w:rsidR="00AF1062" w:rsidRPr="00701B06" w:rsidRDefault="00AF1062" w:rsidP="0051044E">
      <w:pPr>
        <w:pStyle w:val="ListParagraph"/>
        <w:spacing w:after="0" w:line="240" w:lineRule="auto"/>
        <w:contextualSpacing w:val="0"/>
        <w:rPr>
          <w:rFonts w:cs="Times New Roman"/>
          <w:sz w:val="24"/>
          <w:szCs w:val="24"/>
        </w:rPr>
      </w:pPr>
    </w:p>
    <w:p w14:paraId="02922DDF" w14:textId="2E7C3798" w:rsidR="00AF1062" w:rsidRPr="00701B06" w:rsidRDefault="00AF1062" w:rsidP="0051044E">
      <w:pPr>
        <w:pStyle w:val="Heading2"/>
        <w:spacing w:before="0" w:after="0" w:line="240" w:lineRule="auto"/>
        <w:rPr>
          <w:color w:val="auto"/>
        </w:rPr>
      </w:pPr>
      <w:r w:rsidRPr="00701B06">
        <w:rPr>
          <w:color w:val="auto"/>
        </w:rPr>
        <w:t>(9) C</w:t>
      </w:r>
      <w:r w:rsidR="00C2146F" w:rsidRPr="00701B06">
        <w:rPr>
          <w:color w:val="auto"/>
        </w:rPr>
        <w:t xml:space="preserve">ross-link </w:t>
      </w:r>
      <w:r w:rsidRPr="00701B06">
        <w:rPr>
          <w:color w:val="auto"/>
        </w:rPr>
        <w:t xml:space="preserve">the </w:t>
      </w:r>
      <w:r w:rsidR="00C2146F" w:rsidRPr="00701B06">
        <w:rPr>
          <w:color w:val="auto"/>
        </w:rPr>
        <w:t xml:space="preserve">hot spots with </w:t>
      </w:r>
      <w:r w:rsidRPr="00701B06">
        <w:rPr>
          <w:color w:val="auto"/>
        </w:rPr>
        <w:t xml:space="preserve">the </w:t>
      </w:r>
      <w:r w:rsidR="00C2146F" w:rsidRPr="00701B06">
        <w:rPr>
          <w:color w:val="auto"/>
        </w:rPr>
        <w:t xml:space="preserve">16 </w:t>
      </w:r>
      <w:r w:rsidRPr="00701B06">
        <w:rPr>
          <w:color w:val="auto"/>
        </w:rPr>
        <w:t>CSU CSFs</w:t>
      </w:r>
      <w:r w:rsidR="00C2146F" w:rsidRPr="00701B06">
        <w:rPr>
          <w:color w:val="auto"/>
        </w:rPr>
        <w:t xml:space="preserve"> </w:t>
      </w:r>
      <w:r w:rsidRPr="00701B06">
        <w:rPr>
          <w:color w:val="auto"/>
        </w:rPr>
        <w:t>presented in</w:t>
      </w:r>
      <w:r w:rsidR="00C2146F" w:rsidRPr="00701B06">
        <w:rPr>
          <w:color w:val="auto"/>
        </w:rPr>
        <w:t xml:space="preserve"> </w:t>
      </w:r>
      <w:hyperlink r:id="rId13" w:history="1">
        <w:r w:rsidR="00F04C89" w:rsidRPr="0051044E">
          <w:rPr>
            <w:rStyle w:val="Hyperlink"/>
            <w:lang w:eastAsia="zh-CN"/>
          </w:rPr>
          <w:t>RS312-1</w:t>
        </w:r>
      </w:hyperlink>
      <w:r w:rsidR="00C2146F" w:rsidRPr="00701B06">
        <w:rPr>
          <w:color w:val="auto"/>
        </w:rPr>
        <w:t xml:space="preserve">, emphasizing the importance of </w:t>
      </w:r>
      <w:r w:rsidRPr="00701B06">
        <w:rPr>
          <w:color w:val="auto"/>
        </w:rPr>
        <w:t>alignment, execution planning, and check sheet f</w:t>
      </w:r>
      <w:r w:rsidR="00C2146F" w:rsidRPr="00701B06">
        <w:rPr>
          <w:color w:val="auto"/>
        </w:rPr>
        <w:t xml:space="preserve">actors. </w:t>
      </w:r>
    </w:p>
    <w:p w14:paraId="0B2B3398" w14:textId="6E8BC1AE" w:rsidR="001B5CD9" w:rsidRPr="00701B06" w:rsidRDefault="001B5CD9" w:rsidP="0051044E">
      <w:pPr>
        <w:pStyle w:val="Heading2"/>
        <w:spacing w:before="0" w:after="0" w:line="240" w:lineRule="auto"/>
        <w:ind w:firstLine="360"/>
        <w:rPr>
          <w:color w:val="auto"/>
        </w:rPr>
      </w:pPr>
      <w:r w:rsidRPr="00701B06">
        <w:rPr>
          <w:color w:val="auto"/>
        </w:rPr>
        <w:t>(Project Phase:</w:t>
      </w:r>
      <w:r w:rsidR="004875CC" w:rsidRPr="00701B06">
        <w:rPr>
          <w:color w:val="auto"/>
        </w:rPr>
        <w:t xml:space="preserve"> Commissioning and Start-Up through Turnover</w:t>
      </w:r>
      <w:r w:rsidRPr="00701B06">
        <w:rPr>
          <w:color w:val="auto"/>
        </w:rPr>
        <w:t>)</w:t>
      </w:r>
    </w:p>
    <w:p w14:paraId="3D0E0B42" w14:textId="5A98859C" w:rsidR="00693CC9" w:rsidRPr="00701B06" w:rsidRDefault="00693CC9" w:rsidP="0051044E">
      <w:pPr>
        <w:pStyle w:val="ListParagraph"/>
        <w:numPr>
          <w:ilvl w:val="0"/>
          <w:numId w:val="54"/>
        </w:numPr>
        <w:spacing w:after="0" w:line="240" w:lineRule="auto"/>
        <w:contextualSpacing w:val="0"/>
        <w:rPr>
          <w:rFonts w:cs="Times New Roman"/>
          <w:sz w:val="24"/>
          <w:szCs w:val="24"/>
        </w:rPr>
      </w:pPr>
      <w:r w:rsidRPr="00701B06">
        <w:rPr>
          <w:rFonts w:cs="Times New Roman"/>
          <w:sz w:val="24"/>
          <w:szCs w:val="24"/>
        </w:rPr>
        <w:t xml:space="preserve">Align project teams </w:t>
      </w:r>
      <w:r w:rsidR="00AF1062" w:rsidRPr="00701B06">
        <w:rPr>
          <w:rFonts w:cs="Times New Roman"/>
          <w:sz w:val="24"/>
          <w:szCs w:val="24"/>
        </w:rPr>
        <w:t xml:space="preserve">with </w:t>
      </w:r>
      <w:r w:rsidRPr="00701B06">
        <w:rPr>
          <w:rFonts w:cs="Times New Roman"/>
          <w:sz w:val="24"/>
          <w:szCs w:val="24"/>
        </w:rPr>
        <w:t xml:space="preserve">commissioning goals by reviewing CSU execution plans and securing cross-functional </w:t>
      </w:r>
      <w:proofErr w:type="gramStart"/>
      <w:r w:rsidRPr="00701B06">
        <w:rPr>
          <w:rFonts w:cs="Times New Roman"/>
          <w:sz w:val="24"/>
          <w:szCs w:val="24"/>
        </w:rPr>
        <w:t>sign-offs</w:t>
      </w:r>
      <w:proofErr w:type="gramEnd"/>
      <w:r w:rsidRPr="00701B06">
        <w:rPr>
          <w:rFonts w:cs="Times New Roman"/>
          <w:sz w:val="24"/>
          <w:szCs w:val="24"/>
        </w:rPr>
        <w:t>.</w:t>
      </w:r>
    </w:p>
    <w:p w14:paraId="5ED2AD4E" w14:textId="0E380383" w:rsidR="00693CC9" w:rsidRPr="00701B06" w:rsidRDefault="00693CC9" w:rsidP="0051044E">
      <w:pPr>
        <w:pStyle w:val="ListParagraph"/>
        <w:numPr>
          <w:ilvl w:val="0"/>
          <w:numId w:val="54"/>
        </w:numPr>
        <w:spacing w:after="0" w:line="240" w:lineRule="auto"/>
        <w:contextualSpacing w:val="0"/>
        <w:rPr>
          <w:rFonts w:cs="Times New Roman"/>
          <w:sz w:val="24"/>
          <w:szCs w:val="24"/>
        </w:rPr>
      </w:pPr>
      <w:r w:rsidRPr="00701B06">
        <w:rPr>
          <w:rFonts w:cs="Times New Roman"/>
          <w:sz w:val="24"/>
          <w:szCs w:val="24"/>
        </w:rPr>
        <w:t xml:space="preserve">Integrate detailed CSU execution plans to provide a structured approach for </w:t>
      </w:r>
      <w:r w:rsidR="00AF1062" w:rsidRPr="00701B06">
        <w:rPr>
          <w:rFonts w:cs="Times New Roman"/>
          <w:sz w:val="24"/>
          <w:szCs w:val="24"/>
        </w:rPr>
        <w:t xml:space="preserve">effectively </w:t>
      </w:r>
      <w:r w:rsidRPr="00701B06">
        <w:rPr>
          <w:rFonts w:cs="Times New Roman"/>
          <w:sz w:val="24"/>
          <w:szCs w:val="24"/>
        </w:rPr>
        <w:t>managing hot spots​.</w:t>
      </w:r>
    </w:p>
    <w:p w14:paraId="534F6A5E" w14:textId="07357078" w:rsidR="00693CC9" w:rsidRPr="00701B06" w:rsidRDefault="00693CC9" w:rsidP="0051044E">
      <w:pPr>
        <w:pStyle w:val="ListParagraph"/>
        <w:numPr>
          <w:ilvl w:val="0"/>
          <w:numId w:val="54"/>
        </w:numPr>
        <w:spacing w:after="0" w:line="240" w:lineRule="auto"/>
        <w:contextualSpacing w:val="0"/>
        <w:rPr>
          <w:rFonts w:cs="Times New Roman"/>
          <w:sz w:val="24"/>
          <w:szCs w:val="24"/>
        </w:rPr>
      </w:pPr>
      <w:r w:rsidRPr="00701B06">
        <w:rPr>
          <w:rFonts w:cs="Times New Roman"/>
          <w:sz w:val="24"/>
          <w:szCs w:val="24"/>
        </w:rPr>
        <w:t>Define and implement comprehensive check</w:t>
      </w:r>
      <w:r w:rsidR="00AF1062" w:rsidRPr="00701B06">
        <w:rPr>
          <w:rFonts w:cs="Times New Roman"/>
          <w:sz w:val="24"/>
          <w:szCs w:val="24"/>
        </w:rPr>
        <w:t xml:space="preserve"> </w:t>
      </w:r>
      <w:r w:rsidRPr="00701B06">
        <w:rPr>
          <w:rFonts w:cs="Times New Roman"/>
          <w:sz w:val="24"/>
          <w:szCs w:val="24"/>
        </w:rPr>
        <w:t>sheets for critical activities to ensure thorough documentation and accountability.</w:t>
      </w:r>
    </w:p>
    <w:p w14:paraId="28B07A9B" w14:textId="1C8F59F0" w:rsidR="00693CC9" w:rsidRPr="00701B06" w:rsidRDefault="00693CC9" w:rsidP="0051044E">
      <w:pPr>
        <w:pStyle w:val="ListParagraph"/>
        <w:numPr>
          <w:ilvl w:val="0"/>
          <w:numId w:val="54"/>
        </w:numPr>
        <w:spacing w:after="0" w:line="240" w:lineRule="auto"/>
        <w:contextualSpacing w:val="0"/>
        <w:rPr>
          <w:rFonts w:cs="Times New Roman"/>
          <w:sz w:val="24"/>
          <w:szCs w:val="24"/>
        </w:rPr>
      </w:pPr>
      <w:r w:rsidRPr="00701B06">
        <w:rPr>
          <w:rFonts w:cs="Times New Roman"/>
          <w:sz w:val="24"/>
          <w:szCs w:val="24"/>
        </w:rPr>
        <w:t xml:space="preserve">Conduct regular alignment meetings across </w:t>
      </w:r>
      <w:r w:rsidR="0022714D" w:rsidRPr="00701B06">
        <w:rPr>
          <w:rFonts w:cs="Times New Roman"/>
          <w:sz w:val="24"/>
          <w:szCs w:val="24"/>
        </w:rPr>
        <w:t xml:space="preserve">the </w:t>
      </w:r>
      <w:r w:rsidR="00AF1062" w:rsidRPr="00701B06">
        <w:rPr>
          <w:rFonts w:cs="Times New Roman"/>
          <w:sz w:val="24"/>
          <w:szCs w:val="24"/>
        </w:rPr>
        <w:t>owner, project management, operations, CSU, engineering, and construction</w:t>
      </w:r>
      <w:r w:rsidRPr="00701B06">
        <w:rPr>
          <w:rFonts w:cs="Times New Roman"/>
          <w:sz w:val="24"/>
          <w:szCs w:val="24"/>
        </w:rPr>
        <w:t xml:space="preserve"> </w:t>
      </w:r>
      <w:r w:rsidR="00AF1062" w:rsidRPr="00701B06">
        <w:rPr>
          <w:rFonts w:cs="Times New Roman"/>
          <w:sz w:val="24"/>
          <w:szCs w:val="24"/>
        </w:rPr>
        <w:t xml:space="preserve">teams </w:t>
      </w:r>
      <w:r w:rsidRPr="00701B06">
        <w:rPr>
          <w:rFonts w:cs="Times New Roman"/>
          <w:sz w:val="24"/>
          <w:szCs w:val="24"/>
        </w:rPr>
        <w:t>to reinforce team cohesion.</w:t>
      </w:r>
    </w:p>
    <w:p w14:paraId="55CAF9DD" w14:textId="1137C0D0" w:rsidR="006C10D5" w:rsidRPr="00701B06" w:rsidRDefault="00AF1062" w:rsidP="0051044E">
      <w:pPr>
        <w:pStyle w:val="ListParagraph"/>
        <w:numPr>
          <w:ilvl w:val="0"/>
          <w:numId w:val="54"/>
        </w:numPr>
        <w:spacing w:after="0" w:line="240" w:lineRule="auto"/>
        <w:contextualSpacing w:val="0"/>
        <w:rPr>
          <w:rFonts w:cs="Times New Roman"/>
          <w:sz w:val="24"/>
          <w:szCs w:val="24"/>
        </w:rPr>
      </w:pPr>
      <w:r w:rsidRPr="00701B06">
        <w:rPr>
          <w:rFonts w:cs="Times New Roman"/>
          <w:sz w:val="24"/>
          <w:szCs w:val="24"/>
        </w:rPr>
        <w:t>Conduct</w:t>
      </w:r>
      <w:r w:rsidR="00693CC9" w:rsidRPr="00701B06">
        <w:rPr>
          <w:rFonts w:cs="Times New Roman"/>
          <w:sz w:val="24"/>
          <w:szCs w:val="24"/>
        </w:rPr>
        <w:t xml:space="preserve"> trend analysis o</w:t>
      </w:r>
      <w:r w:rsidRPr="00701B06">
        <w:rPr>
          <w:rFonts w:cs="Times New Roman"/>
          <w:sz w:val="24"/>
          <w:szCs w:val="24"/>
        </w:rPr>
        <w:t>f</w:t>
      </w:r>
      <w:r w:rsidR="00693CC9" w:rsidRPr="00701B06">
        <w:rPr>
          <w:rFonts w:cs="Times New Roman"/>
          <w:sz w:val="24"/>
          <w:szCs w:val="24"/>
        </w:rPr>
        <w:t xml:space="preserve"> past hot spots to proactively adjust execution strategies and improve project oversight​.</w:t>
      </w:r>
    </w:p>
    <w:sectPr w:rsidR="006C10D5" w:rsidRPr="00701B06" w:rsidSect="00FC2903">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B1079" w14:textId="77777777" w:rsidR="0053171C" w:rsidRDefault="0053171C" w:rsidP="00B0597D">
      <w:pPr>
        <w:spacing w:after="0" w:line="240" w:lineRule="auto"/>
      </w:pPr>
      <w:r>
        <w:separator/>
      </w:r>
    </w:p>
  </w:endnote>
  <w:endnote w:type="continuationSeparator" w:id="0">
    <w:p w14:paraId="7E67918A" w14:textId="77777777" w:rsidR="0053171C" w:rsidRDefault="0053171C" w:rsidP="00B05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F3FA9" w14:textId="77777777" w:rsidR="0053171C" w:rsidRDefault="0053171C" w:rsidP="00B0597D">
      <w:pPr>
        <w:spacing w:after="0" w:line="240" w:lineRule="auto"/>
      </w:pPr>
      <w:r>
        <w:separator/>
      </w:r>
    </w:p>
  </w:footnote>
  <w:footnote w:type="continuationSeparator" w:id="0">
    <w:p w14:paraId="70CE7DC3" w14:textId="77777777" w:rsidR="0053171C" w:rsidRDefault="0053171C" w:rsidP="00B059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64CE5"/>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84185F"/>
    <w:multiLevelType w:val="hybridMultilevel"/>
    <w:tmpl w:val="24D088D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6A758D"/>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407C3D"/>
    <w:multiLevelType w:val="hybridMultilevel"/>
    <w:tmpl w:val="540EECE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12160F"/>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D547DE0"/>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E050784"/>
    <w:multiLevelType w:val="hybridMultilevel"/>
    <w:tmpl w:val="DE2CBF6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E94726D"/>
    <w:multiLevelType w:val="hybridMultilevel"/>
    <w:tmpl w:val="A85AF56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0344C08"/>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2E33460"/>
    <w:multiLevelType w:val="hybridMultilevel"/>
    <w:tmpl w:val="A8601DC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71799A"/>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56152B7"/>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56D3220"/>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842693"/>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312161B"/>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4AC0693"/>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7FC3BE4"/>
    <w:multiLevelType w:val="hybridMultilevel"/>
    <w:tmpl w:val="B4105FE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1F63C6"/>
    <w:multiLevelType w:val="hybridMultilevel"/>
    <w:tmpl w:val="B83A2F78"/>
    <w:lvl w:ilvl="0" w:tplc="148C936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0D527D8"/>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9B1CB1"/>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E8F2B92"/>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233270"/>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2F29C1"/>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93D6BD5"/>
    <w:multiLevelType w:val="hybridMultilevel"/>
    <w:tmpl w:val="A96C201A"/>
    <w:lvl w:ilvl="0" w:tplc="4FAE4348">
      <w:numFmt w:val="bullet"/>
      <w:lvlText w:val="-"/>
      <w:lvlJc w:val="left"/>
      <w:pPr>
        <w:ind w:left="780" w:hanging="360"/>
      </w:pPr>
      <w:rPr>
        <w:rFonts w:ascii="Times New Roman" w:eastAsiaTheme="majorEastAsia"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7" w15:restartNumberingAfterBreak="0">
    <w:nsid w:val="4AD80BE9"/>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BD606B9"/>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BDD1ADA"/>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CAC17C0"/>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0B61F6F"/>
    <w:multiLevelType w:val="hybridMultilevel"/>
    <w:tmpl w:val="35A4242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0C71EC9"/>
    <w:multiLevelType w:val="hybridMultilevel"/>
    <w:tmpl w:val="DB54DE0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CA75E5"/>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E3D1A6D"/>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7B84CA1"/>
    <w:multiLevelType w:val="hybridMultilevel"/>
    <w:tmpl w:val="E6F62BF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E086885"/>
    <w:multiLevelType w:val="hybridMultilevel"/>
    <w:tmpl w:val="F80215A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F375700"/>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5A04C63"/>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2603753">
    <w:abstractNumId w:val="31"/>
  </w:num>
  <w:num w:numId="2" w16cid:durableId="1052078125">
    <w:abstractNumId w:val="48"/>
  </w:num>
  <w:num w:numId="3" w16cid:durableId="676617151">
    <w:abstractNumId w:val="52"/>
  </w:num>
  <w:num w:numId="4" w16cid:durableId="562835090">
    <w:abstractNumId w:val="41"/>
  </w:num>
  <w:num w:numId="5" w16cid:durableId="1359504598">
    <w:abstractNumId w:val="26"/>
  </w:num>
  <w:num w:numId="6" w16cid:durableId="1562987232">
    <w:abstractNumId w:val="33"/>
  </w:num>
  <w:num w:numId="7" w16cid:durableId="884367478">
    <w:abstractNumId w:val="35"/>
  </w:num>
  <w:num w:numId="8" w16cid:durableId="1738436825">
    <w:abstractNumId w:val="0"/>
  </w:num>
  <w:num w:numId="9" w16cid:durableId="1936673494">
    <w:abstractNumId w:val="27"/>
  </w:num>
  <w:num w:numId="10" w16cid:durableId="431172331">
    <w:abstractNumId w:val="22"/>
  </w:num>
  <w:num w:numId="11" w16cid:durableId="994726383">
    <w:abstractNumId w:val="6"/>
  </w:num>
  <w:num w:numId="12" w16cid:durableId="1914001632">
    <w:abstractNumId w:val="44"/>
  </w:num>
  <w:num w:numId="13" w16cid:durableId="301545632">
    <w:abstractNumId w:val="1"/>
  </w:num>
  <w:num w:numId="14" w16cid:durableId="2017884132">
    <w:abstractNumId w:val="30"/>
  </w:num>
  <w:num w:numId="15" w16cid:durableId="1776166522">
    <w:abstractNumId w:val="47"/>
  </w:num>
  <w:num w:numId="16" w16cid:durableId="1327244331">
    <w:abstractNumId w:val="25"/>
  </w:num>
  <w:num w:numId="17" w16cid:durableId="820850785">
    <w:abstractNumId w:val="21"/>
  </w:num>
  <w:num w:numId="18" w16cid:durableId="1750813447">
    <w:abstractNumId w:val="23"/>
  </w:num>
  <w:num w:numId="19" w16cid:durableId="1264415857">
    <w:abstractNumId w:val="18"/>
  </w:num>
  <w:num w:numId="20" w16cid:durableId="1491749955">
    <w:abstractNumId w:val="13"/>
  </w:num>
  <w:num w:numId="21" w16cid:durableId="508376827">
    <w:abstractNumId w:val="34"/>
  </w:num>
  <w:num w:numId="22" w16cid:durableId="881601151">
    <w:abstractNumId w:val="53"/>
  </w:num>
  <w:num w:numId="23" w16cid:durableId="63258752">
    <w:abstractNumId w:val="14"/>
  </w:num>
  <w:num w:numId="24" w16cid:durableId="1230532511">
    <w:abstractNumId w:val="39"/>
  </w:num>
  <w:num w:numId="25" w16cid:durableId="888608356">
    <w:abstractNumId w:val="45"/>
  </w:num>
  <w:num w:numId="26" w16cid:durableId="718168758">
    <w:abstractNumId w:val="15"/>
  </w:num>
  <w:num w:numId="27" w16cid:durableId="1580016222">
    <w:abstractNumId w:val="40"/>
  </w:num>
  <w:num w:numId="28" w16cid:durableId="389571904">
    <w:abstractNumId w:val="38"/>
  </w:num>
  <w:num w:numId="29" w16cid:durableId="1449162640">
    <w:abstractNumId w:val="19"/>
  </w:num>
  <w:num w:numId="30" w16cid:durableId="840201578">
    <w:abstractNumId w:val="17"/>
  </w:num>
  <w:num w:numId="31" w16cid:durableId="255138181">
    <w:abstractNumId w:val="11"/>
  </w:num>
  <w:num w:numId="32" w16cid:durableId="1426077296">
    <w:abstractNumId w:val="51"/>
  </w:num>
  <w:num w:numId="33" w16cid:durableId="635765003">
    <w:abstractNumId w:val="36"/>
  </w:num>
  <w:num w:numId="34" w16cid:durableId="1873768057">
    <w:abstractNumId w:val="28"/>
  </w:num>
  <w:num w:numId="35" w16cid:durableId="817309146">
    <w:abstractNumId w:val="2"/>
  </w:num>
  <w:num w:numId="36" w16cid:durableId="29259795">
    <w:abstractNumId w:val="4"/>
  </w:num>
  <w:num w:numId="37" w16cid:durableId="1607805365">
    <w:abstractNumId w:val="7"/>
  </w:num>
  <w:num w:numId="38" w16cid:durableId="1162157170">
    <w:abstractNumId w:val="29"/>
  </w:num>
  <w:num w:numId="39" w16cid:durableId="829491601">
    <w:abstractNumId w:val="24"/>
  </w:num>
  <w:num w:numId="40" w16cid:durableId="775519758">
    <w:abstractNumId w:val="20"/>
  </w:num>
  <w:num w:numId="41" w16cid:durableId="1047029930">
    <w:abstractNumId w:val="8"/>
  </w:num>
  <w:num w:numId="42" w16cid:durableId="706561501">
    <w:abstractNumId w:val="37"/>
  </w:num>
  <w:num w:numId="43" w16cid:durableId="2141067075">
    <w:abstractNumId w:val="16"/>
  </w:num>
  <w:num w:numId="44" w16cid:durableId="31271047">
    <w:abstractNumId w:val="46"/>
  </w:num>
  <w:num w:numId="45" w16cid:durableId="673264387">
    <w:abstractNumId w:val="32"/>
  </w:num>
  <w:num w:numId="46" w16cid:durableId="794058410">
    <w:abstractNumId w:val="43"/>
  </w:num>
  <w:num w:numId="47" w16cid:durableId="339700924">
    <w:abstractNumId w:val="5"/>
  </w:num>
  <w:num w:numId="48" w16cid:durableId="450827495">
    <w:abstractNumId w:val="3"/>
  </w:num>
  <w:num w:numId="49" w16cid:durableId="210465221">
    <w:abstractNumId w:val="10"/>
  </w:num>
  <w:num w:numId="50" w16cid:durableId="366296531">
    <w:abstractNumId w:val="42"/>
  </w:num>
  <w:num w:numId="51" w16cid:durableId="196478264">
    <w:abstractNumId w:val="12"/>
  </w:num>
  <w:num w:numId="52" w16cid:durableId="105544057">
    <w:abstractNumId w:val="50"/>
  </w:num>
  <w:num w:numId="53" w16cid:durableId="1901401481">
    <w:abstractNumId w:val="9"/>
  </w:num>
  <w:num w:numId="54" w16cid:durableId="2081902229">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rQUAZ9prSywAAAA="/>
  </w:docVars>
  <w:rsids>
    <w:rsidRoot w:val="00830C78"/>
    <w:rsid w:val="00021DF5"/>
    <w:rsid w:val="00025091"/>
    <w:rsid w:val="00032433"/>
    <w:rsid w:val="00036FFA"/>
    <w:rsid w:val="00040547"/>
    <w:rsid w:val="00041361"/>
    <w:rsid w:val="000608AC"/>
    <w:rsid w:val="00066978"/>
    <w:rsid w:val="00085EE4"/>
    <w:rsid w:val="00090C53"/>
    <w:rsid w:val="00091A32"/>
    <w:rsid w:val="000B2A28"/>
    <w:rsid w:val="000B62EF"/>
    <w:rsid w:val="000D7975"/>
    <w:rsid w:val="00123DB4"/>
    <w:rsid w:val="00124A6C"/>
    <w:rsid w:val="00134D87"/>
    <w:rsid w:val="00147C89"/>
    <w:rsid w:val="00161681"/>
    <w:rsid w:val="001644FE"/>
    <w:rsid w:val="00164E72"/>
    <w:rsid w:val="0016544F"/>
    <w:rsid w:val="00166A7D"/>
    <w:rsid w:val="00166FCC"/>
    <w:rsid w:val="00167836"/>
    <w:rsid w:val="00174B62"/>
    <w:rsid w:val="00175D8E"/>
    <w:rsid w:val="00175FB9"/>
    <w:rsid w:val="001762EC"/>
    <w:rsid w:val="00177E12"/>
    <w:rsid w:val="00191A51"/>
    <w:rsid w:val="00196911"/>
    <w:rsid w:val="001A2C36"/>
    <w:rsid w:val="001B5CD9"/>
    <w:rsid w:val="001C40B4"/>
    <w:rsid w:val="001C764B"/>
    <w:rsid w:val="001C78E6"/>
    <w:rsid w:val="001D54C7"/>
    <w:rsid w:val="001D686C"/>
    <w:rsid w:val="001E1351"/>
    <w:rsid w:val="001E399C"/>
    <w:rsid w:val="001F2BFC"/>
    <w:rsid w:val="001F6DBB"/>
    <w:rsid w:val="001F6ECD"/>
    <w:rsid w:val="00202082"/>
    <w:rsid w:val="00206F5F"/>
    <w:rsid w:val="002078D0"/>
    <w:rsid w:val="002147F6"/>
    <w:rsid w:val="0022714D"/>
    <w:rsid w:val="00230D98"/>
    <w:rsid w:val="0025066D"/>
    <w:rsid w:val="00272EF8"/>
    <w:rsid w:val="002776DF"/>
    <w:rsid w:val="00297D38"/>
    <w:rsid w:val="002A376F"/>
    <w:rsid w:val="002B3DC2"/>
    <w:rsid w:val="002B75BE"/>
    <w:rsid w:val="002C056D"/>
    <w:rsid w:val="002C7564"/>
    <w:rsid w:val="002C7919"/>
    <w:rsid w:val="002D16C5"/>
    <w:rsid w:val="002D1A11"/>
    <w:rsid w:val="002D2B58"/>
    <w:rsid w:val="002E7BD5"/>
    <w:rsid w:val="002F77B4"/>
    <w:rsid w:val="003018C2"/>
    <w:rsid w:val="00305B95"/>
    <w:rsid w:val="003066B9"/>
    <w:rsid w:val="003075B0"/>
    <w:rsid w:val="00323C0E"/>
    <w:rsid w:val="00327DDD"/>
    <w:rsid w:val="00346ADE"/>
    <w:rsid w:val="00350B6A"/>
    <w:rsid w:val="00360BB4"/>
    <w:rsid w:val="003702F7"/>
    <w:rsid w:val="00377576"/>
    <w:rsid w:val="003A311F"/>
    <w:rsid w:val="003B2149"/>
    <w:rsid w:val="003D06D0"/>
    <w:rsid w:val="003D4BFF"/>
    <w:rsid w:val="003E0B86"/>
    <w:rsid w:val="003F79B9"/>
    <w:rsid w:val="00400E9E"/>
    <w:rsid w:val="004026F2"/>
    <w:rsid w:val="00412A7E"/>
    <w:rsid w:val="0042219D"/>
    <w:rsid w:val="00423365"/>
    <w:rsid w:val="00425510"/>
    <w:rsid w:val="00430128"/>
    <w:rsid w:val="00442F94"/>
    <w:rsid w:val="004656F5"/>
    <w:rsid w:val="004875CC"/>
    <w:rsid w:val="004A11EF"/>
    <w:rsid w:val="004B5236"/>
    <w:rsid w:val="004B7D65"/>
    <w:rsid w:val="004C3E1B"/>
    <w:rsid w:val="004C5BA4"/>
    <w:rsid w:val="004F7438"/>
    <w:rsid w:val="00502DCE"/>
    <w:rsid w:val="0051044E"/>
    <w:rsid w:val="005158E6"/>
    <w:rsid w:val="005172C4"/>
    <w:rsid w:val="005205BD"/>
    <w:rsid w:val="00521D71"/>
    <w:rsid w:val="005264A1"/>
    <w:rsid w:val="0053171C"/>
    <w:rsid w:val="00536004"/>
    <w:rsid w:val="00543C90"/>
    <w:rsid w:val="00554F68"/>
    <w:rsid w:val="005559B6"/>
    <w:rsid w:val="00557698"/>
    <w:rsid w:val="00564B80"/>
    <w:rsid w:val="005853B4"/>
    <w:rsid w:val="00597D31"/>
    <w:rsid w:val="005A4F97"/>
    <w:rsid w:val="005B028E"/>
    <w:rsid w:val="005B15B3"/>
    <w:rsid w:val="005B34D0"/>
    <w:rsid w:val="005C32EE"/>
    <w:rsid w:val="005D3434"/>
    <w:rsid w:val="005E161A"/>
    <w:rsid w:val="00605512"/>
    <w:rsid w:val="00612571"/>
    <w:rsid w:val="00627BDB"/>
    <w:rsid w:val="00636B48"/>
    <w:rsid w:val="00642EA4"/>
    <w:rsid w:val="006624D8"/>
    <w:rsid w:val="00662AEB"/>
    <w:rsid w:val="00663F57"/>
    <w:rsid w:val="00672818"/>
    <w:rsid w:val="0068783B"/>
    <w:rsid w:val="0069226A"/>
    <w:rsid w:val="00692983"/>
    <w:rsid w:val="00693CC9"/>
    <w:rsid w:val="006956BA"/>
    <w:rsid w:val="006A1016"/>
    <w:rsid w:val="006A1621"/>
    <w:rsid w:val="006B0223"/>
    <w:rsid w:val="006B4FB6"/>
    <w:rsid w:val="006B5403"/>
    <w:rsid w:val="006C10D5"/>
    <w:rsid w:val="006C56D3"/>
    <w:rsid w:val="00701B06"/>
    <w:rsid w:val="007078EE"/>
    <w:rsid w:val="00737FDF"/>
    <w:rsid w:val="0074160A"/>
    <w:rsid w:val="007505A2"/>
    <w:rsid w:val="00761E51"/>
    <w:rsid w:val="007647BE"/>
    <w:rsid w:val="00767667"/>
    <w:rsid w:val="00770834"/>
    <w:rsid w:val="00780355"/>
    <w:rsid w:val="00781873"/>
    <w:rsid w:val="00791A21"/>
    <w:rsid w:val="0079372A"/>
    <w:rsid w:val="007A64C2"/>
    <w:rsid w:val="007A6C07"/>
    <w:rsid w:val="007E077B"/>
    <w:rsid w:val="0082368D"/>
    <w:rsid w:val="00826371"/>
    <w:rsid w:val="00830A5A"/>
    <w:rsid w:val="00830C78"/>
    <w:rsid w:val="00841DA5"/>
    <w:rsid w:val="0084208B"/>
    <w:rsid w:val="00843F7E"/>
    <w:rsid w:val="00850AD4"/>
    <w:rsid w:val="0085257D"/>
    <w:rsid w:val="008525BA"/>
    <w:rsid w:val="008628C2"/>
    <w:rsid w:val="00863457"/>
    <w:rsid w:val="00874F98"/>
    <w:rsid w:val="00875253"/>
    <w:rsid w:val="00891D16"/>
    <w:rsid w:val="00893B71"/>
    <w:rsid w:val="008A53A5"/>
    <w:rsid w:val="008A77C5"/>
    <w:rsid w:val="008B097B"/>
    <w:rsid w:val="008C3801"/>
    <w:rsid w:val="008D3281"/>
    <w:rsid w:val="008E0C58"/>
    <w:rsid w:val="008F2B50"/>
    <w:rsid w:val="008F7605"/>
    <w:rsid w:val="009157BB"/>
    <w:rsid w:val="00926F1C"/>
    <w:rsid w:val="0092799F"/>
    <w:rsid w:val="00927DED"/>
    <w:rsid w:val="00927E5D"/>
    <w:rsid w:val="0093107B"/>
    <w:rsid w:val="0093110F"/>
    <w:rsid w:val="00932177"/>
    <w:rsid w:val="009424A3"/>
    <w:rsid w:val="009456FC"/>
    <w:rsid w:val="00974D5D"/>
    <w:rsid w:val="0098010A"/>
    <w:rsid w:val="00981F18"/>
    <w:rsid w:val="00991680"/>
    <w:rsid w:val="009A418F"/>
    <w:rsid w:val="009A4C64"/>
    <w:rsid w:val="009B0C22"/>
    <w:rsid w:val="009C1CAE"/>
    <w:rsid w:val="009C50C6"/>
    <w:rsid w:val="009D0001"/>
    <w:rsid w:val="009F4DB8"/>
    <w:rsid w:val="00A00AB3"/>
    <w:rsid w:val="00A1325C"/>
    <w:rsid w:val="00A16877"/>
    <w:rsid w:val="00A16E69"/>
    <w:rsid w:val="00A16F49"/>
    <w:rsid w:val="00A20E61"/>
    <w:rsid w:val="00A23C55"/>
    <w:rsid w:val="00A253C6"/>
    <w:rsid w:val="00A25DF4"/>
    <w:rsid w:val="00A3695B"/>
    <w:rsid w:val="00A4057E"/>
    <w:rsid w:val="00A709F0"/>
    <w:rsid w:val="00A8106C"/>
    <w:rsid w:val="00A8500D"/>
    <w:rsid w:val="00A877C6"/>
    <w:rsid w:val="00A9209E"/>
    <w:rsid w:val="00AC2212"/>
    <w:rsid w:val="00AC4625"/>
    <w:rsid w:val="00AE5CF1"/>
    <w:rsid w:val="00AF1062"/>
    <w:rsid w:val="00AF4C99"/>
    <w:rsid w:val="00B043AF"/>
    <w:rsid w:val="00B0597D"/>
    <w:rsid w:val="00B23294"/>
    <w:rsid w:val="00B351B1"/>
    <w:rsid w:val="00B42B84"/>
    <w:rsid w:val="00B62935"/>
    <w:rsid w:val="00B658BE"/>
    <w:rsid w:val="00B708E2"/>
    <w:rsid w:val="00B8360C"/>
    <w:rsid w:val="00BB4802"/>
    <w:rsid w:val="00BB5DEC"/>
    <w:rsid w:val="00C040E9"/>
    <w:rsid w:val="00C211DE"/>
    <w:rsid w:val="00C2146F"/>
    <w:rsid w:val="00C33AFE"/>
    <w:rsid w:val="00C40551"/>
    <w:rsid w:val="00C50E46"/>
    <w:rsid w:val="00C5765D"/>
    <w:rsid w:val="00C633FD"/>
    <w:rsid w:val="00C654B8"/>
    <w:rsid w:val="00C65CE5"/>
    <w:rsid w:val="00C665F2"/>
    <w:rsid w:val="00C67535"/>
    <w:rsid w:val="00C770FF"/>
    <w:rsid w:val="00C87840"/>
    <w:rsid w:val="00C95D58"/>
    <w:rsid w:val="00CA16AE"/>
    <w:rsid w:val="00CB4D3D"/>
    <w:rsid w:val="00CC0627"/>
    <w:rsid w:val="00CC4411"/>
    <w:rsid w:val="00CC6CE3"/>
    <w:rsid w:val="00CE0ECA"/>
    <w:rsid w:val="00CE1B19"/>
    <w:rsid w:val="00CF37D4"/>
    <w:rsid w:val="00D2439C"/>
    <w:rsid w:val="00D25445"/>
    <w:rsid w:val="00D264CA"/>
    <w:rsid w:val="00D2690D"/>
    <w:rsid w:val="00D270CA"/>
    <w:rsid w:val="00D3224B"/>
    <w:rsid w:val="00D50288"/>
    <w:rsid w:val="00D65E42"/>
    <w:rsid w:val="00D805A5"/>
    <w:rsid w:val="00D93581"/>
    <w:rsid w:val="00DA085F"/>
    <w:rsid w:val="00DC34FA"/>
    <w:rsid w:val="00DC3935"/>
    <w:rsid w:val="00DD186D"/>
    <w:rsid w:val="00DD2D0B"/>
    <w:rsid w:val="00E0520F"/>
    <w:rsid w:val="00E14066"/>
    <w:rsid w:val="00E22F8F"/>
    <w:rsid w:val="00E265DF"/>
    <w:rsid w:val="00E35007"/>
    <w:rsid w:val="00E54874"/>
    <w:rsid w:val="00E6414C"/>
    <w:rsid w:val="00E661CF"/>
    <w:rsid w:val="00E6718B"/>
    <w:rsid w:val="00E76CE3"/>
    <w:rsid w:val="00EA1B30"/>
    <w:rsid w:val="00EB687D"/>
    <w:rsid w:val="00EB6F30"/>
    <w:rsid w:val="00EC0D03"/>
    <w:rsid w:val="00EC1E4A"/>
    <w:rsid w:val="00ED0B84"/>
    <w:rsid w:val="00ED5D03"/>
    <w:rsid w:val="00EE12E6"/>
    <w:rsid w:val="00EE13D3"/>
    <w:rsid w:val="00EF6A5F"/>
    <w:rsid w:val="00F04C89"/>
    <w:rsid w:val="00F26307"/>
    <w:rsid w:val="00F30329"/>
    <w:rsid w:val="00F36B4E"/>
    <w:rsid w:val="00F45B5A"/>
    <w:rsid w:val="00F5025F"/>
    <w:rsid w:val="00F52441"/>
    <w:rsid w:val="00F524A9"/>
    <w:rsid w:val="00F54066"/>
    <w:rsid w:val="00F54152"/>
    <w:rsid w:val="00F54EB4"/>
    <w:rsid w:val="00F83FAA"/>
    <w:rsid w:val="00F95057"/>
    <w:rsid w:val="00F95D92"/>
    <w:rsid w:val="00FB5806"/>
    <w:rsid w:val="00FB7721"/>
    <w:rsid w:val="00FC2903"/>
    <w:rsid w:val="00FC3FE2"/>
    <w:rsid w:val="00FD1620"/>
    <w:rsid w:val="00FE0871"/>
    <w:rsid w:val="00FE2001"/>
    <w:rsid w:val="00FE747F"/>
    <w:rsid w:val="00FF0E51"/>
    <w:rsid w:val="00FF3FE1"/>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Spacing"/>
    <w:next w:val="Normal"/>
    <w:link w:val="Heading1Char"/>
    <w:uiPriority w:val="9"/>
    <w:qFormat/>
    <w:rsid w:val="004F7438"/>
    <w:pPr>
      <w:outlineLvl w:val="0"/>
    </w:pPr>
    <w:rPr>
      <w:b/>
      <w:bCs/>
      <w:sz w:val="24"/>
      <w:szCs w:val="24"/>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438"/>
    <w:rPr>
      <w:b/>
      <w:bCs/>
      <w:sz w:val="24"/>
      <w:szCs w:val="24"/>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paragraph" w:styleId="NoSpacing">
    <w:name w:val="No Spacing"/>
    <w:uiPriority w:val="1"/>
    <w:qFormat/>
    <w:rsid w:val="00C87840"/>
    <w:pPr>
      <w:spacing w:after="0" w:line="240" w:lineRule="auto"/>
    </w:pPr>
  </w:style>
  <w:style w:type="character" w:styleId="Emphasis">
    <w:name w:val="Emphasis"/>
    <w:basedOn w:val="DefaultParagraphFont"/>
    <w:uiPriority w:val="20"/>
    <w:qFormat/>
    <w:rsid w:val="001F2BFC"/>
    <w:rPr>
      <w:i/>
      <w:iCs/>
    </w:rPr>
  </w:style>
  <w:style w:type="character" w:styleId="FollowedHyperlink">
    <w:name w:val="FollowedHyperlink"/>
    <w:basedOn w:val="DefaultParagraphFont"/>
    <w:uiPriority w:val="99"/>
    <w:semiHidden/>
    <w:unhideWhenUsed/>
    <w:rsid w:val="0051044E"/>
    <w:rPr>
      <w:color w:val="96607D" w:themeColor="followedHyperlink"/>
      <w:u w:val="single"/>
    </w:rPr>
  </w:style>
  <w:style w:type="paragraph" w:styleId="Header">
    <w:name w:val="header"/>
    <w:basedOn w:val="Normal"/>
    <w:link w:val="HeaderChar"/>
    <w:uiPriority w:val="99"/>
    <w:unhideWhenUsed/>
    <w:rsid w:val="00B059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597D"/>
  </w:style>
  <w:style w:type="paragraph" w:styleId="Footer">
    <w:name w:val="footer"/>
    <w:basedOn w:val="Normal"/>
    <w:link w:val="FooterChar"/>
    <w:uiPriority w:val="99"/>
    <w:unhideWhenUsed/>
    <w:rsid w:val="00B059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59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652760381">
      <w:bodyDiv w:val="1"/>
      <w:marLeft w:val="0"/>
      <w:marRight w:val="0"/>
      <w:marTop w:val="0"/>
      <w:marBottom w:val="0"/>
      <w:divBdr>
        <w:top w:val="none" w:sz="0" w:space="0" w:color="auto"/>
        <w:left w:val="none" w:sz="0" w:space="0" w:color="auto"/>
        <w:bottom w:val="none" w:sz="0" w:space="0" w:color="auto"/>
        <w:right w:val="none" w:sz="0" w:space="0" w:color="auto"/>
      </w:divBdr>
    </w:div>
    <w:div w:id="776217158">
      <w:bodyDiv w:val="1"/>
      <w:marLeft w:val="0"/>
      <w:marRight w:val="0"/>
      <w:marTop w:val="0"/>
      <w:marBottom w:val="0"/>
      <w:divBdr>
        <w:top w:val="none" w:sz="0" w:space="0" w:color="auto"/>
        <w:left w:val="none" w:sz="0" w:space="0" w:color="auto"/>
        <w:bottom w:val="none" w:sz="0" w:space="0" w:color="auto"/>
        <w:right w:val="none" w:sz="0" w:space="0" w:color="auto"/>
      </w:divBdr>
    </w:div>
    <w:div w:id="947658396">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495292858">
      <w:bodyDiv w:val="1"/>
      <w:marLeft w:val="0"/>
      <w:marRight w:val="0"/>
      <w:marTop w:val="0"/>
      <w:marBottom w:val="0"/>
      <w:divBdr>
        <w:top w:val="none" w:sz="0" w:space="0" w:color="auto"/>
        <w:left w:val="none" w:sz="0" w:space="0" w:color="auto"/>
        <w:bottom w:val="none" w:sz="0" w:space="0" w:color="auto"/>
        <w:right w:val="none" w:sz="0" w:space="0" w:color="auto"/>
      </w:divBdr>
    </w:div>
    <w:div w:id="1509058221">
      <w:bodyDiv w:val="1"/>
      <w:marLeft w:val="0"/>
      <w:marRight w:val="0"/>
      <w:marTop w:val="0"/>
      <w:marBottom w:val="0"/>
      <w:divBdr>
        <w:top w:val="none" w:sz="0" w:space="0" w:color="auto"/>
        <w:left w:val="none" w:sz="0" w:space="0" w:color="auto"/>
        <w:bottom w:val="none" w:sz="0" w:space="0" w:color="auto"/>
        <w:right w:val="none" w:sz="0" w:space="0" w:color="auto"/>
      </w:divBdr>
    </w:div>
    <w:div w:id="1527138463">
      <w:bodyDiv w:val="1"/>
      <w:marLeft w:val="0"/>
      <w:marRight w:val="0"/>
      <w:marTop w:val="0"/>
      <w:marBottom w:val="0"/>
      <w:divBdr>
        <w:top w:val="none" w:sz="0" w:space="0" w:color="auto"/>
        <w:left w:val="none" w:sz="0" w:space="0" w:color="auto"/>
        <w:bottom w:val="none" w:sz="0" w:space="0" w:color="auto"/>
        <w:right w:val="none" w:sz="0" w:space="0" w:color="auto"/>
      </w:divBdr>
    </w:div>
    <w:div w:id="1554152988">
      <w:bodyDiv w:val="1"/>
      <w:marLeft w:val="0"/>
      <w:marRight w:val="0"/>
      <w:marTop w:val="0"/>
      <w:marBottom w:val="0"/>
      <w:divBdr>
        <w:top w:val="none" w:sz="0" w:space="0" w:color="auto"/>
        <w:left w:val="none" w:sz="0" w:space="0" w:color="auto"/>
        <w:bottom w:val="none" w:sz="0" w:space="0" w:color="auto"/>
        <w:right w:val="none" w:sz="0" w:space="0" w:color="auto"/>
      </w:divBdr>
    </w:div>
    <w:div w:id="1645574278">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critical-success-factors-for-project-commissioning-and-startup" TargetMode="External"/><Relationship Id="rId13" Type="http://schemas.openxmlformats.org/officeDocument/2006/relationships/hyperlink" Target="https://www.construction-institute.org/critical-success-factors-for-project-commissioning-and-startup" TargetMode="External"/><Relationship Id="rId3" Type="http://schemas.openxmlformats.org/officeDocument/2006/relationships/settings" Target="settings.xml"/><Relationship Id="rId7" Type="http://schemas.openxmlformats.org/officeDocument/2006/relationships/hyperlink" Target="https://www.construction-institute.org/planning-for-startup-overview-of-research" TargetMode="External"/><Relationship Id="rId12" Type="http://schemas.openxmlformats.org/officeDocument/2006/relationships/hyperlink" Target="https://www.construction-institute.org/critical-success-factors-for-project-commissioning-and-startu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managing-transitions-between-construction-completion-pre-commissioning-commissioning-and-startu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construction-institute.org/managing-transitions-between-construction-completion-pre-commissioning-commissioning-and-startup" TargetMode="External"/><Relationship Id="rId4" Type="http://schemas.openxmlformats.org/officeDocument/2006/relationships/webSettings" Target="webSettings.xml"/><Relationship Id="rId9" Type="http://schemas.openxmlformats.org/officeDocument/2006/relationships/hyperlink" Target="https://www.construction-institute.org/managing-transitions-between-construction-completion-pre-commissioning-commissioning-and-startu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1264</Words>
  <Characters>8208</Characters>
  <Application>Microsoft Office Word</Application>
  <DocSecurity>0</DocSecurity>
  <Lines>155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29</cp:revision>
  <cp:lastPrinted>2024-11-05T15:53:00Z</cp:lastPrinted>
  <dcterms:created xsi:type="dcterms:W3CDTF">2025-03-04T22:22:00Z</dcterms:created>
  <dcterms:modified xsi:type="dcterms:W3CDTF">2025-03-10T16:23:00Z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